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2811" w14:textId="77777777" w:rsidR="003761F2" w:rsidRDefault="003761F2">
      <w:pPr>
        <w:rPr>
          <w:b/>
        </w:rPr>
      </w:pPr>
      <w:r w:rsidRPr="006D09E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20F99F" wp14:editId="041535DC">
                <wp:simplePos x="0" y="0"/>
                <wp:positionH relativeFrom="margin">
                  <wp:posOffset>457200</wp:posOffset>
                </wp:positionH>
                <wp:positionV relativeFrom="paragraph">
                  <wp:posOffset>285750</wp:posOffset>
                </wp:positionV>
                <wp:extent cx="591502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CA90" w14:textId="77777777" w:rsidR="006D09E2" w:rsidRPr="00A25F12" w:rsidRDefault="006D09E2" w:rsidP="00964F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5F12">
                              <w:rPr>
                                <w:b/>
                              </w:rPr>
                              <w:t>POSITIVE ORAL</w:t>
                            </w:r>
                            <w:r w:rsidR="00964FCE" w:rsidRPr="00A25F12">
                              <w:rPr>
                                <w:b/>
                              </w:rPr>
                              <w:t xml:space="preserve"> CONTRAST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0F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2.5pt;width:465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">
                <v:textbox>
                  <w:txbxContent>
                    <w:p w14:paraId="1AE6CA90" w14:textId="77777777" w:rsidR="006D09E2" w:rsidRPr="00A25F12" w:rsidRDefault="006D09E2" w:rsidP="00964FCE">
                      <w:pPr>
                        <w:jc w:val="center"/>
                        <w:rPr>
                          <w:b/>
                        </w:rPr>
                      </w:pPr>
                      <w:r w:rsidRPr="00A25F12">
                        <w:rPr>
                          <w:b/>
                        </w:rPr>
                        <w:t>POSITIVE ORAL</w:t>
                      </w:r>
                      <w:r w:rsidR="00964FCE" w:rsidRPr="00A25F12">
                        <w:rPr>
                          <w:b/>
                        </w:rPr>
                        <w:t xml:space="preserve"> CONTRAST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FEDDAE" w14:textId="77777777" w:rsidR="003A02E7" w:rsidRDefault="003A02E7">
      <w:pPr>
        <w:rPr>
          <w:b/>
        </w:rPr>
      </w:pPr>
    </w:p>
    <w:p w14:paraId="688B3D51" w14:textId="77777777" w:rsidR="00A970F2" w:rsidRPr="00A25F12" w:rsidRDefault="006D09E2">
      <w:pPr>
        <w:rPr>
          <w:noProof/>
          <w:sz w:val="20"/>
          <w:szCs w:val="20"/>
        </w:rPr>
      </w:pPr>
      <w:r w:rsidRPr="00A25F12">
        <w:rPr>
          <w:b/>
          <w:sz w:val="20"/>
          <w:szCs w:val="20"/>
        </w:rPr>
        <w:t>Background:</w:t>
      </w:r>
      <w:r w:rsidRPr="00A25F12">
        <w:rPr>
          <w:b/>
          <w:noProof/>
          <w:sz w:val="20"/>
          <w:szCs w:val="20"/>
        </w:rPr>
        <w:t xml:space="preserve"> </w:t>
      </w:r>
      <w:r w:rsidRPr="00A25F12">
        <w:rPr>
          <w:noProof/>
          <w:sz w:val="20"/>
          <w:szCs w:val="20"/>
        </w:rPr>
        <w:t>Positive enteric contrast for CT imaging improves diagnostic accuracy for some clinical indications. However, use of positive enteric contrast is not needed for all abdominal indications and delays tur</w:t>
      </w:r>
      <w:r w:rsidR="00711971" w:rsidRPr="00A25F12">
        <w:rPr>
          <w:noProof/>
          <w:sz w:val="20"/>
          <w:szCs w:val="20"/>
        </w:rPr>
        <w:t>n</w:t>
      </w:r>
      <w:r w:rsidRPr="00A25F12">
        <w:rPr>
          <w:noProof/>
          <w:sz w:val="20"/>
          <w:szCs w:val="20"/>
        </w:rPr>
        <w:t>-around-time.</w:t>
      </w:r>
    </w:p>
    <w:p w14:paraId="40BC35DA" w14:textId="77777777" w:rsidR="006D09E2" w:rsidRPr="00A25F12" w:rsidRDefault="006D09E2">
      <w:pPr>
        <w:rPr>
          <w:noProof/>
          <w:sz w:val="20"/>
          <w:szCs w:val="20"/>
        </w:rPr>
      </w:pPr>
      <w:r w:rsidRPr="00A25F12">
        <w:rPr>
          <w:b/>
          <w:noProof/>
          <w:sz w:val="20"/>
          <w:szCs w:val="20"/>
        </w:rPr>
        <w:t>Positive Enteric Contrast:</w:t>
      </w:r>
      <w:r w:rsidRPr="00A25F12">
        <w:rPr>
          <w:noProof/>
          <w:sz w:val="20"/>
          <w:szCs w:val="20"/>
        </w:rPr>
        <w:t xml:space="preserve"> Pre-mixed 500mL (16.9 oz) bottle of Omnipaque® (Iohezhol) 350 oral solution (9mg iodine/mL).</w:t>
      </w:r>
    </w:p>
    <w:p w14:paraId="0F6AB57A" w14:textId="77777777" w:rsidR="006D09E2" w:rsidRPr="00A25F12" w:rsidRDefault="006D09E2">
      <w:pPr>
        <w:rPr>
          <w:b/>
          <w:noProof/>
          <w:sz w:val="20"/>
          <w:szCs w:val="20"/>
        </w:rPr>
      </w:pPr>
      <w:r w:rsidRPr="00D3281C">
        <w:rPr>
          <w:b/>
          <w:noProof/>
          <w:sz w:val="20"/>
          <w:szCs w:val="20"/>
          <w:u w:val="single"/>
        </w:rPr>
        <w:t>Positive Enteric Contrast indications</w:t>
      </w:r>
      <w:r w:rsidRPr="00A25F12">
        <w:rPr>
          <w:b/>
          <w:noProof/>
          <w:sz w:val="20"/>
          <w:szCs w:val="20"/>
        </w:rPr>
        <w:t>:</w:t>
      </w:r>
    </w:p>
    <w:p w14:paraId="0BC0D587" w14:textId="77777777" w:rsidR="00A25F12" w:rsidRDefault="00A25F12" w:rsidP="006D09E2">
      <w:pPr>
        <w:pStyle w:val="ListParagraph"/>
        <w:numPr>
          <w:ilvl w:val="0"/>
          <w:numId w:val="1"/>
        </w:numPr>
        <w:rPr>
          <w:sz w:val="20"/>
          <w:szCs w:val="20"/>
        </w:rPr>
        <w:sectPr w:rsidR="00A25F12" w:rsidSect="00A25F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432" w:footer="0" w:gutter="0"/>
          <w:cols w:space="720"/>
          <w:docGrid w:linePitch="360"/>
        </w:sectPr>
      </w:pPr>
    </w:p>
    <w:p w14:paraId="7FCC451A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Abdominal or pelvic surgery or CT in the last two weeks</w:t>
      </w:r>
    </w:p>
    <w:p w14:paraId="5A83E4F7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Abscess drain or wound vac</w:t>
      </w:r>
    </w:p>
    <w:p w14:paraId="10F3AE93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Suspected or know enterocutaneous fistula</w:t>
      </w:r>
    </w:p>
    <w:p w14:paraId="6F7D04E2" w14:textId="77777777" w:rsidR="006D09E2" w:rsidRPr="00A25F12" w:rsidRDefault="00F67306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Esophageal or </w:t>
      </w:r>
      <w:r w:rsidR="006D09E2" w:rsidRPr="00A25F12">
        <w:rPr>
          <w:sz w:val="20"/>
          <w:szCs w:val="20"/>
        </w:rPr>
        <w:t>Bowel perforation/ leak</w:t>
      </w:r>
    </w:p>
    <w:p w14:paraId="2A3136E2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Abdominal/pelvic abscess</w:t>
      </w:r>
    </w:p>
    <w:p w14:paraId="3D133B6B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Abdominal fluid collection</w:t>
      </w:r>
    </w:p>
    <w:p w14:paraId="25DB3E02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Free air</w:t>
      </w:r>
    </w:p>
    <w:p w14:paraId="66E686CD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Biloma</w:t>
      </w:r>
    </w:p>
    <w:p w14:paraId="34CE4987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Pancreatic pseudocyst</w:t>
      </w:r>
    </w:p>
    <w:p w14:paraId="68E79ED3" w14:textId="77777777" w:rsidR="006D09E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Pancreatic walled off necrosis</w:t>
      </w:r>
    </w:p>
    <w:p w14:paraId="18C4FC3E" w14:textId="77777777" w:rsidR="00F67306" w:rsidRDefault="00626D3D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Appendiceal</w:t>
      </w:r>
      <w:r w:rsidR="00F67306">
        <w:rPr>
          <w:sz w:val="20"/>
          <w:szCs w:val="20"/>
        </w:rPr>
        <w:t xml:space="preserve"> cancer</w:t>
      </w:r>
    </w:p>
    <w:p w14:paraId="580D861A" w14:textId="77777777" w:rsidR="00A25F12" w:rsidRPr="00A25F12" w:rsidRDefault="00A25F12" w:rsidP="00A25F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CT abdomen and/ or pelvis without IV contrast (not stone, bleed or adrenal protocol)</w:t>
      </w:r>
    </w:p>
    <w:p w14:paraId="19DE7A66" w14:textId="77777777" w:rsidR="006D09E2" w:rsidRPr="00A25F12" w:rsidRDefault="006D09E2" w:rsidP="006D09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Pelvic mass in females or gynecologic cancer</w:t>
      </w:r>
    </w:p>
    <w:p w14:paraId="070A6490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Cervical</w:t>
      </w:r>
    </w:p>
    <w:p w14:paraId="34C0A30F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Endometrial</w:t>
      </w:r>
    </w:p>
    <w:p w14:paraId="5D3C3982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Uterine</w:t>
      </w:r>
    </w:p>
    <w:p w14:paraId="6A771FDE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Ovarian</w:t>
      </w:r>
    </w:p>
    <w:p w14:paraId="770E7A36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Fallopian tube</w:t>
      </w:r>
    </w:p>
    <w:p w14:paraId="01735F69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Any peritoneal nodule</w:t>
      </w:r>
    </w:p>
    <w:p w14:paraId="421FE0F0" w14:textId="77777777" w:rsidR="006D09E2" w:rsidRPr="00A25F12" w:rsidRDefault="00626D3D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Pseudomyoxoma</w:t>
      </w:r>
      <w:r w:rsidR="006D09E2" w:rsidRPr="00A25F12">
        <w:rPr>
          <w:sz w:val="20"/>
          <w:szCs w:val="20"/>
        </w:rPr>
        <w:t xml:space="preserve"> peritonei</w:t>
      </w:r>
    </w:p>
    <w:p w14:paraId="5C052DF4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Omental caking</w:t>
      </w:r>
    </w:p>
    <w:p w14:paraId="4DC0DBFB" w14:textId="77777777" w:rsidR="006D09E2" w:rsidRPr="00A25F12" w:rsidRDefault="006D09E2" w:rsidP="006D09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25F12">
        <w:rPr>
          <w:sz w:val="20"/>
          <w:szCs w:val="20"/>
        </w:rPr>
        <w:t>Primary peritoneal cancer</w:t>
      </w:r>
    </w:p>
    <w:p w14:paraId="7AC40D10" w14:textId="77777777" w:rsidR="00A25F12" w:rsidRDefault="00A25F12" w:rsidP="006D09E2">
      <w:pPr>
        <w:rPr>
          <w:sz w:val="20"/>
          <w:szCs w:val="20"/>
        </w:rPr>
        <w:sectPr w:rsidR="00A25F12" w:rsidSect="00A25F12">
          <w:type w:val="continuous"/>
          <w:pgSz w:w="12240" w:h="15840"/>
          <w:pgMar w:top="720" w:right="720" w:bottom="720" w:left="720" w:header="432" w:footer="0" w:gutter="0"/>
          <w:cols w:num="2"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95"/>
        <w:gridCol w:w="2070"/>
        <w:gridCol w:w="6385"/>
      </w:tblGrid>
      <w:tr w:rsidR="001328AC" w14:paraId="7B98B847" w14:textId="77777777" w:rsidTr="00F51E6B">
        <w:tc>
          <w:tcPr>
            <w:tcW w:w="895" w:type="dxa"/>
          </w:tcPr>
          <w:p w14:paraId="4E3619B2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Route</w:t>
            </w:r>
          </w:p>
        </w:tc>
        <w:tc>
          <w:tcPr>
            <w:tcW w:w="2070" w:type="dxa"/>
          </w:tcPr>
          <w:p w14:paraId="0C849750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Indication</w:t>
            </w:r>
          </w:p>
        </w:tc>
        <w:tc>
          <w:tcPr>
            <w:tcW w:w="6385" w:type="dxa"/>
          </w:tcPr>
          <w:p w14:paraId="55AD7CC7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Dosage</w:t>
            </w:r>
          </w:p>
        </w:tc>
      </w:tr>
      <w:tr w:rsidR="001328AC" w14:paraId="4C99FF31" w14:textId="77777777" w:rsidTr="00F51E6B">
        <w:tc>
          <w:tcPr>
            <w:tcW w:w="895" w:type="dxa"/>
          </w:tcPr>
          <w:p w14:paraId="2CE281C4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Oral</w:t>
            </w:r>
          </w:p>
        </w:tc>
        <w:tc>
          <w:tcPr>
            <w:tcW w:w="2070" w:type="dxa"/>
          </w:tcPr>
          <w:p w14:paraId="08990D5B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Routine</w:t>
            </w:r>
          </w:p>
        </w:tc>
        <w:tc>
          <w:tcPr>
            <w:tcW w:w="6385" w:type="dxa"/>
          </w:tcPr>
          <w:p w14:paraId="72A204AB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250ml (60 min prior to scan) and 250ml (30 min prior to scan).</w:t>
            </w:r>
          </w:p>
        </w:tc>
      </w:tr>
      <w:tr w:rsidR="001328AC" w14:paraId="5A4B5D9B" w14:textId="77777777" w:rsidTr="00F51E6B">
        <w:tc>
          <w:tcPr>
            <w:tcW w:w="895" w:type="dxa"/>
          </w:tcPr>
          <w:p w14:paraId="4ADFEA5E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Oral</w:t>
            </w:r>
          </w:p>
        </w:tc>
        <w:tc>
          <w:tcPr>
            <w:tcW w:w="2070" w:type="dxa"/>
          </w:tcPr>
          <w:p w14:paraId="0B2F03C0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Bariatric Post OP</w:t>
            </w:r>
          </w:p>
        </w:tc>
        <w:tc>
          <w:tcPr>
            <w:tcW w:w="6385" w:type="dxa"/>
          </w:tcPr>
          <w:p w14:paraId="25AF89EF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150ml (on table), immediately prior to scan.</w:t>
            </w:r>
          </w:p>
        </w:tc>
      </w:tr>
      <w:tr w:rsidR="001328AC" w14:paraId="2EAD1E8F" w14:textId="77777777" w:rsidTr="00F51E6B">
        <w:tc>
          <w:tcPr>
            <w:tcW w:w="895" w:type="dxa"/>
          </w:tcPr>
          <w:p w14:paraId="1852DD9A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Oral</w:t>
            </w:r>
          </w:p>
        </w:tc>
        <w:tc>
          <w:tcPr>
            <w:tcW w:w="2070" w:type="dxa"/>
          </w:tcPr>
          <w:p w14:paraId="3E0C0BB3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Esophageal Leak</w:t>
            </w:r>
          </w:p>
        </w:tc>
        <w:tc>
          <w:tcPr>
            <w:tcW w:w="6385" w:type="dxa"/>
          </w:tcPr>
          <w:p w14:paraId="6F29B90D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100ml (on table), immediately prior to scan.</w:t>
            </w:r>
          </w:p>
        </w:tc>
      </w:tr>
      <w:tr w:rsidR="001328AC" w14:paraId="5CF1B977" w14:textId="77777777" w:rsidTr="00F51E6B">
        <w:tc>
          <w:tcPr>
            <w:tcW w:w="895" w:type="dxa"/>
          </w:tcPr>
          <w:p w14:paraId="427A3116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G-tube</w:t>
            </w:r>
          </w:p>
        </w:tc>
        <w:tc>
          <w:tcPr>
            <w:tcW w:w="2070" w:type="dxa"/>
          </w:tcPr>
          <w:p w14:paraId="64B9EA5D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Routine</w:t>
            </w:r>
          </w:p>
        </w:tc>
        <w:tc>
          <w:tcPr>
            <w:tcW w:w="6385" w:type="dxa"/>
          </w:tcPr>
          <w:p w14:paraId="4B60D5AA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500ml (60 min prior to scan).</w:t>
            </w:r>
          </w:p>
        </w:tc>
      </w:tr>
      <w:tr w:rsidR="001328AC" w14:paraId="27C8FDAB" w14:textId="77777777" w:rsidTr="00F51E6B">
        <w:tc>
          <w:tcPr>
            <w:tcW w:w="895" w:type="dxa"/>
          </w:tcPr>
          <w:p w14:paraId="4064FAD9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G-tube</w:t>
            </w:r>
          </w:p>
        </w:tc>
        <w:tc>
          <w:tcPr>
            <w:tcW w:w="2070" w:type="dxa"/>
          </w:tcPr>
          <w:p w14:paraId="7CF830E4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Check Placement</w:t>
            </w:r>
          </w:p>
        </w:tc>
        <w:tc>
          <w:tcPr>
            <w:tcW w:w="6385" w:type="dxa"/>
          </w:tcPr>
          <w:p w14:paraId="5878A7C4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150ml (on table), immediately prior to scan.</w:t>
            </w:r>
          </w:p>
        </w:tc>
      </w:tr>
      <w:tr w:rsidR="001328AC" w14:paraId="58D6A0E0" w14:textId="77777777" w:rsidTr="00F51E6B">
        <w:tc>
          <w:tcPr>
            <w:tcW w:w="895" w:type="dxa"/>
          </w:tcPr>
          <w:p w14:paraId="64B85F70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J-tube</w:t>
            </w:r>
          </w:p>
        </w:tc>
        <w:tc>
          <w:tcPr>
            <w:tcW w:w="2070" w:type="dxa"/>
          </w:tcPr>
          <w:p w14:paraId="10322F1F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Routine</w:t>
            </w:r>
          </w:p>
        </w:tc>
        <w:tc>
          <w:tcPr>
            <w:tcW w:w="6385" w:type="dxa"/>
          </w:tcPr>
          <w:p w14:paraId="70466D29" w14:textId="77777777" w:rsidR="001328AC" w:rsidRPr="00A25F12" w:rsidRDefault="001328AC" w:rsidP="006D09E2">
            <w:pPr>
              <w:rPr>
                <w:sz w:val="20"/>
                <w:szCs w:val="20"/>
              </w:rPr>
            </w:pPr>
            <w:r w:rsidRPr="00A25F12">
              <w:rPr>
                <w:sz w:val="20"/>
                <w:szCs w:val="20"/>
              </w:rPr>
              <w:t>Administer 250ml (60 min prior to scan).</w:t>
            </w:r>
          </w:p>
        </w:tc>
      </w:tr>
    </w:tbl>
    <w:p w14:paraId="3CE68944" w14:textId="77777777" w:rsidR="00964FCE" w:rsidRPr="00A25F12" w:rsidRDefault="00964FCE" w:rsidP="006D09E2">
      <w:pPr>
        <w:rPr>
          <w:sz w:val="20"/>
          <w:szCs w:val="20"/>
        </w:rPr>
      </w:pPr>
      <w:r w:rsidRPr="00A25F12">
        <w:rPr>
          <w:sz w:val="20"/>
          <w:szCs w:val="20"/>
        </w:rPr>
        <w:t>NOTE:</w:t>
      </w:r>
    </w:p>
    <w:p w14:paraId="732CD203" w14:textId="77777777" w:rsidR="00964FCE" w:rsidRPr="00A25F12" w:rsidRDefault="00964FCE" w:rsidP="00964FC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To guide CT protocoling: Speak with the patient, patient’s nurse and utilize the electronic medical record (including prior imaging reports).</w:t>
      </w:r>
    </w:p>
    <w:p w14:paraId="1981B4E7" w14:textId="77777777" w:rsidR="00964FCE" w:rsidRPr="00A25F12" w:rsidRDefault="00964FCE" w:rsidP="00964FC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NO positive oral contrast agent is to be given for:</w:t>
      </w:r>
    </w:p>
    <w:p w14:paraId="2005C67B" w14:textId="3518D499" w:rsidR="00964FCE" w:rsidRPr="00A25F12" w:rsidRDefault="00964FCE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 xml:space="preserve"> CTA studies, (</w:t>
      </w:r>
      <w:r w:rsidR="00400170" w:rsidRPr="00A25F12">
        <w:rPr>
          <w:sz w:val="20"/>
          <w:szCs w:val="20"/>
        </w:rPr>
        <w:t>Pre-</w:t>
      </w:r>
      <w:r w:rsidR="00400170">
        <w:rPr>
          <w:sz w:val="20"/>
          <w:szCs w:val="20"/>
        </w:rPr>
        <w:t xml:space="preserve"> </w:t>
      </w:r>
      <w:r w:rsidRPr="00A25F12">
        <w:rPr>
          <w:sz w:val="20"/>
          <w:szCs w:val="20"/>
        </w:rPr>
        <w:t>or Post</w:t>
      </w:r>
      <w:r w:rsidR="00400170">
        <w:rPr>
          <w:sz w:val="20"/>
          <w:szCs w:val="20"/>
        </w:rPr>
        <w:t>-S</w:t>
      </w:r>
      <w:r w:rsidRPr="00A25F12">
        <w:rPr>
          <w:sz w:val="20"/>
          <w:szCs w:val="20"/>
        </w:rPr>
        <w:t>tent)</w:t>
      </w:r>
    </w:p>
    <w:p w14:paraId="189C17E1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Renal studies</w:t>
      </w:r>
    </w:p>
    <w:p w14:paraId="374CD93F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Liver imaging</w:t>
      </w:r>
    </w:p>
    <w:p w14:paraId="1A371CCE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Pancreatic imaging (water)</w:t>
      </w:r>
    </w:p>
    <w:p w14:paraId="4F58D949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Acute flank pain</w:t>
      </w:r>
    </w:p>
    <w:p w14:paraId="1E94A62E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Acute trauma patients</w:t>
      </w:r>
    </w:p>
    <w:p w14:paraId="47B7F253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CT Urograms</w:t>
      </w:r>
    </w:p>
    <w:p w14:paraId="76D83C28" w14:textId="77777777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CT Cystograms</w:t>
      </w:r>
    </w:p>
    <w:p w14:paraId="6088BAD9" w14:textId="7A81AF8C" w:rsidR="00830BA6" w:rsidRPr="00A25F12" w:rsidRDefault="00830BA6" w:rsidP="00964FCE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 xml:space="preserve">GI </w:t>
      </w:r>
      <w:r w:rsidR="00400170">
        <w:rPr>
          <w:sz w:val="20"/>
          <w:szCs w:val="20"/>
        </w:rPr>
        <w:t>B</w:t>
      </w:r>
      <w:r w:rsidRPr="00A25F12">
        <w:rPr>
          <w:sz w:val="20"/>
          <w:szCs w:val="20"/>
        </w:rPr>
        <w:t>leed studies</w:t>
      </w:r>
    </w:p>
    <w:p w14:paraId="7874FB75" w14:textId="77777777" w:rsidR="003A02E7" w:rsidRDefault="003A02E7" w:rsidP="003A02E7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A25F12">
        <w:rPr>
          <w:sz w:val="20"/>
          <w:szCs w:val="20"/>
        </w:rPr>
        <w:t>Post OP complications for kidney transplant patients</w:t>
      </w:r>
    </w:p>
    <w:p w14:paraId="3ADFB589" w14:textId="77777777" w:rsidR="00DC505D" w:rsidRPr="00A25F12" w:rsidRDefault="00DC505D" w:rsidP="003A02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Shunt eval</w:t>
      </w:r>
    </w:p>
    <w:p w14:paraId="33441054" w14:textId="77777777" w:rsidR="00830BA6" w:rsidRPr="00A25F12" w:rsidRDefault="00830BA6" w:rsidP="00830BA6">
      <w:pPr>
        <w:pStyle w:val="ListParagraph"/>
        <w:rPr>
          <w:sz w:val="20"/>
          <w:szCs w:val="20"/>
        </w:rPr>
      </w:pPr>
      <w:r w:rsidRPr="00A25F12">
        <w:rPr>
          <w:b/>
          <w:sz w:val="20"/>
          <w:szCs w:val="20"/>
        </w:rPr>
        <w:t>Water or Breeza can be used if requested</w:t>
      </w:r>
      <w:r w:rsidRPr="00A25F12">
        <w:rPr>
          <w:sz w:val="20"/>
          <w:szCs w:val="20"/>
        </w:rPr>
        <w:t>.</w:t>
      </w:r>
    </w:p>
    <w:p w14:paraId="55332BE6" w14:textId="77777777" w:rsidR="00830BA6" w:rsidRPr="00A25F12" w:rsidRDefault="00830BA6" w:rsidP="00830BA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The CT imaging exam should be performed 1 hour after the patient starts drinking, even if they cannot finish the bottle. Do NOT delay inpatient or ED scans.</w:t>
      </w:r>
    </w:p>
    <w:p w14:paraId="2727F80A" w14:textId="77777777" w:rsidR="00830BA6" w:rsidRDefault="00830BA6" w:rsidP="00830BA6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If the ordering team request no oral contrast or orders the exam STAT and the indication is one of the listed, consult the Radiologist.</w:t>
      </w:r>
    </w:p>
    <w:p w14:paraId="04DE03CC" w14:textId="679C1AF5" w:rsidR="00711971" w:rsidRPr="00400170" w:rsidRDefault="00400170" w:rsidP="00400170">
      <w:pPr>
        <w:rPr>
          <w:sz w:val="20"/>
          <w:szCs w:val="20"/>
        </w:rPr>
      </w:pPr>
      <w:r w:rsidRPr="00A25F12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FFE62" wp14:editId="5FCB9B2D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5924550" cy="3143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C6C6" w14:textId="77777777" w:rsidR="00830BA6" w:rsidRPr="00A25F12" w:rsidRDefault="00830BA6" w:rsidP="00ED56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5F12">
                              <w:rPr>
                                <w:b/>
                              </w:rPr>
                              <w:t>NEUTRAL ORAL CONTRAST</w:t>
                            </w:r>
                            <w:r w:rsidR="00ED5676" w:rsidRPr="00A25F12">
                              <w:rPr>
                                <w:b/>
                              </w:rPr>
                              <w:t xml:space="preserve"> (BREEZA FOR CT ENTEROGRAPHY (CTE)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FE62" id="_x0000_s1027" type="#_x0000_t202" style="position:absolute;margin-left:23.25pt;margin-top:0;width:466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">
                <v:textbox>
                  <w:txbxContent>
                    <w:p w14:paraId="4A1FC6C6" w14:textId="77777777" w:rsidR="00830BA6" w:rsidRPr="00A25F12" w:rsidRDefault="00830BA6" w:rsidP="00ED5676">
                      <w:pPr>
                        <w:jc w:val="center"/>
                        <w:rPr>
                          <w:b/>
                        </w:rPr>
                      </w:pPr>
                      <w:r w:rsidRPr="00A25F12">
                        <w:rPr>
                          <w:b/>
                        </w:rPr>
                        <w:t>NEUTRAL ORAL CONTRAST</w:t>
                      </w:r>
                      <w:r w:rsidR="00ED5676" w:rsidRPr="00A25F12">
                        <w:rPr>
                          <w:b/>
                        </w:rPr>
                        <w:t xml:space="preserve"> (BREEZA FOR CT ENTEROGRAPHY (CTE)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44570A" w14:textId="77777777" w:rsidR="00711971" w:rsidRDefault="00711971" w:rsidP="00830BA6">
      <w:pPr>
        <w:pStyle w:val="ListParagraph"/>
      </w:pPr>
    </w:p>
    <w:p w14:paraId="5CCC01BC" w14:textId="0FFBA46E" w:rsidR="00830BA6" w:rsidRPr="00A25F12" w:rsidRDefault="00ED5676" w:rsidP="00830BA6">
      <w:pPr>
        <w:pStyle w:val="ListParagraph"/>
        <w:rPr>
          <w:sz w:val="20"/>
          <w:szCs w:val="20"/>
        </w:rPr>
      </w:pPr>
      <w:r w:rsidRPr="00A25F12">
        <w:rPr>
          <w:sz w:val="20"/>
          <w:szCs w:val="20"/>
        </w:rPr>
        <w:t xml:space="preserve">Technique: Three bottles of Breeza (500mL each) separated by 20 minutes prior to scan. </w:t>
      </w:r>
      <w:r w:rsidR="00400170">
        <w:rPr>
          <w:sz w:val="20"/>
          <w:szCs w:val="20"/>
        </w:rPr>
        <w:t>O</w:t>
      </w:r>
      <w:r w:rsidRPr="00A25F12">
        <w:rPr>
          <w:sz w:val="20"/>
          <w:szCs w:val="20"/>
        </w:rPr>
        <w:t>ne bottle at 60,</w:t>
      </w:r>
      <w:r w:rsidR="00400170">
        <w:rPr>
          <w:sz w:val="20"/>
          <w:szCs w:val="20"/>
        </w:rPr>
        <w:t xml:space="preserve"> </w:t>
      </w:r>
      <w:r w:rsidRPr="00A25F12">
        <w:rPr>
          <w:sz w:val="20"/>
          <w:szCs w:val="20"/>
        </w:rPr>
        <w:t>40 and 20 minutes prior to scan and 8oz (240mL) of water on exam table.</w:t>
      </w:r>
    </w:p>
    <w:p w14:paraId="196B60BE" w14:textId="77777777" w:rsidR="00ED5676" w:rsidRPr="00A25F12" w:rsidRDefault="00ED5676" w:rsidP="00830BA6">
      <w:pPr>
        <w:pStyle w:val="ListParagraph"/>
        <w:rPr>
          <w:sz w:val="20"/>
          <w:szCs w:val="20"/>
        </w:rPr>
      </w:pPr>
      <w:r w:rsidRPr="00A25F12">
        <w:rPr>
          <w:sz w:val="20"/>
          <w:szCs w:val="20"/>
        </w:rPr>
        <w:t>Protocols/ Indications to be followed:</w:t>
      </w:r>
    </w:p>
    <w:p w14:paraId="476B0B86" w14:textId="77777777" w:rsidR="00ED5676" w:rsidRPr="00A25F12" w:rsidRDefault="003761F2" w:rsidP="00ED567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25F12">
        <w:rPr>
          <w:b/>
          <w:sz w:val="20"/>
          <w:szCs w:val="20"/>
        </w:rPr>
        <w:t>Single phase CTE</w:t>
      </w:r>
    </w:p>
    <w:p w14:paraId="70A5FDDA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Inflammatory bowel disease (IBD)</w:t>
      </w:r>
    </w:p>
    <w:p w14:paraId="2B087CCC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Crohn’s</w:t>
      </w:r>
    </w:p>
    <w:p w14:paraId="7FA86776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Ulcerative colitis (UC)</w:t>
      </w:r>
    </w:p>
    <w:p w14:paraId="7A961366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Inflammatory bowel syndrome (IBS)</w:t>
      </w:r>
    </w:p>
    <w:p w14:paraId="6A7321DE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Familial adenomatous polyposis (FAP)</w:t>
      </w:r>
    </w:p>
    <w:p w14:paraId="5DE73E8D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Small bowel adenoma</w:t>
      </w:r>
    </w:p>
    <w:p w14:paraId="0B579F90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Polyp(s)</w:t>
      </w:r>
    </w:p>
    <w:p w14:paraId="3B90FFD9" w14:textId="77777777" w:rsidR="003761F2" w:rsidRPr="00A25F12" w:rsidRDefault="003761F2" w:rsidP="003761F2">
      <w:pPr>
        <w:pStyle w:val="ListParagraph"/>
        <w:numPr>
          <w:ilvl w:val="1"/>
          <w:numId w:val="7"/>
        </w:numPr>
        <w:rPr>
          <w:sz w:val="20"/>
          <w:szCs w:val="20"/>
        </w:rPr>
      </w:pPr>
      <w:r w:rsidRPr="00A25F12">
        <w:rPr>
          <w:sz w:val="20"/>
          <w:szCs w:val="20"/>
        </w:rPr>
        <w:t>Mass</w:t>
      </w:r>
    </w:p>
    <w:p w14:paraId="70A57BA4" w14:textId="77777777" w:rsidR="00F51E6B" w:rsidRDefault="003761F2" w:rsidP="00F51E6B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A25F12">
        <w:rPr>
          <w:b/>
          <w:sz w:val="20"/>
          <w:szCs w:val="20"/>
        </w:rPr>
        <w:t>Biphasic CTE</w:t>
      </w:r>
    </w:p>
    <w:p w14:paraId="231C12DB" w14:textId="77777777" w:rsidR="00F51E6B" w:rsidRPr="00F51E6B" w:rsidRDefault="003761F2" w:rsidP="00F51E6B">
      <w:pPr>
        <w:pStyle w:val="ListParagraph"/>
        <w:numPr>
          <w:ilvl w:val="1"/>
          <w:numId w:val="7"/>
        </w:numPr>
        <w:rPr>
          <w:b/>
          <w:sz w:val="20"/>
          <w:szCs w:val="20"/>
        </w:rPr>
      </w:pPr>
      <w:r w:rsidRPr="00F51E6B">
        <w:rPr>
          <w:sz w:val="20"/>
          <w:szCs w:val="20"/>
        </w:rPr>
        <w:t>Non emergent bleed (melena or chronic anemia)</w:t>
      </w:r>
    </w:p>
    <w:p w14:paraId="45E9D9BD" w14:textId="77777777" w:rsidR="00F51E6B" w:rsidRPr="00F51E6B" w:rsidRDefault="003761F2" w:rsidP="00F51E6B">
      <w:pPr>
        <w:pStyle w:val="ListParagraph"/>
        <w:numPr>
          <w:ilvl w:val="1"/>
          <w:numId w:val="7"/>
        </w:numPr>
        <w:rPr>
          <w:b/>
          <w:sz w:val="20"/>
          <w:szCs w:val="20"/>
        </w:rPr>
      </w:pPr>
      <w:r w:rsidRPr="00F51E6B">
        <w:rPr>
          <w:sz w:val="20"/>
          <w:szCs w:val="20"/>
        </w:rPr>
        <w:t>Intestinal carcinoid or intestinal neuroendocrine tumor (NET)</w:t>
      </w:r>
    </w:p>
    <w:p w14:paraId="018101E2" w14:textId="77777777" w:rsidR="00F51E6B" w:rsidRPr="00F51E6B" w:rsidRDefault="003761F2" w:rsidP="00F51E6B">
      <w:pPr>
        <w:pStyle w:val="ListParagraph"/>
        <w:numPr>
          <w:ilvl w:val="1"/>
          <w:numId w:val="7"/>
        </w:numPr>
        <w:rPr>
          <w:b/>
          <w:sz w:val="20"/>
          <w:szCs w:val="20"/>
        </w:rPr>
      </w:pPr>
      <w:r w:rsidRPr="00F51E6B">
        <w:rPr>
          <w:sz w:val="20"/>
          <w:szCs w:val="20"/>
        </w:rPr>
        <w:t>Angiodysplasia</w:t>
      </w:r>
    </w:p>
    <w:p w14:paraId="5B8921AC" w14:textId="643C89D8" w:rsidR="003761F2" w:rsidRPr="00F51E6B" w:rsidRDefault="003761F2" w:rsidP="00F51E6B">
      <w:pPr>
        <w:pStyle w:val="ListParagraph"/>
        <w:numPr>
          <w:ilvl w:val="1"/>
          <w:numId w:val="7"/>
        </w:numPr>
        <w:rPr>
          <w:b/>
          <w:sz w:val="20"/>
          <w:szCs w:val="20"/>
        </w:rPr>
      </w:pPr>
      <w:r w:rsidRPr="00F51E6B">
        <w:rPr>
          <w:sz w:val="20"/>
          <w:szCs w:val="20"/>
        </w:rPr>
        <w:t>Intestinal arteriovenous malformations (AVMS). Including hereditary hemorrhagic telangiectasia (HHT).</w:t>
      </w:r>
    </w:p>
    <w:p w14:paraId="36DD9F6C" w14:textId="77777777" w:rsidR="003761F2" w:rsidRPr="00A25F12" w:rsidRDefault="003761F2" w:rsidP="003761F2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A25F12">
        <w:rPr>
          <w:b/>
          <w:sz w:val="20"/>
          <w:szCs w:val="20"/>
        </w:rPr>
        <w:t>Triphasic CT (GI bleed protocoling):</w:t>
      </w:r>
    </w:p>
    <w:p w14:paraId="6F39C733" w14:textId="77777777" w:rsidR="003761F2" w:rsidRPr="00A25F12" w:rsidRDefault="003761F2" w:rsidP="003761F2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A25F12">
        <w:rPr>
          <w:sz w:val="20"/>
          <w:szCs w:val="20"/>
        </w:rPr>
        <w:t>Chronic bleed</w:t>
      </w:r>
    </w:p>
    <w:p w14:paraId="169BEEFC" w14:textId="77777777" w:rsidR="003761F2" w:rsidRPr="00A25F12" w:rsidRDefault="003761F2" w:rsidP="003761F2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 w:rsidRPr="00A25F12">
        <w:rPr>
          <w:sz w:val="20"/>
          <w:szCs w:val="20"/>
        </w:rPr>
        <w:t xml:space="preserve">In emergency, do NOT wait to administer Breeza, but do administer 8oz (240mL) of water on the exam table. </w:t>
      </w:r>
    </w:p>
    <w:p w14:paraId="772BEBF8" w14:textId="37033586" w:rsidR="00711971" w:rsidRDefault="00711971" w:rsidP="00711971">
      <w:pPr>
        <w:spacing w:after="0"/>
      </w:pPr>
    </w:p>
    <w:p w14:paraId="6B0892A9" w14:textId="112918AB" w:rsidR="00711971" w:rsidRDefault="00F51E6B" w:rsidP="00711971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29BCB7" wp14:editId="75E0F490">
                <wp:simplePos x="0" y="0"/>
                <wp:positionH relativeFrom="margin">
                  <wp:posOffset>371475</wp:posOffset>
                </wp:positionH>
                <wp:positionV relativeFrom="paragraph">
                  <wp:posOffset>147955</wp:posOffset>
                </wp:positionV>
                <wp:extent cx="6134100" cy="2857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E7016" w14:textId="77777777" w:rsidR="00711971" w:rsidRPr="00711971" w:rsidRDefault="00711971" w:rsidP="007119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971">
                              <w:rPr>
                                <w:b/>
                              </w:rPr>
                              <w:t>RECTAL CONTRAST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BCB7" id="_x0000_s1028" type="#_x0000_t202" style="position:absolute;margin-left:29.25pt;margin-top:11.65pt;width:483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HkFQIAACY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">
                <v:textbox>
                  <w:txbxContent>
                    <w:p w14:paraId="29EE7016" w14:textId="77777777" w:rsidR="00711971" w:rsidRPr="00711971" w:rsidRDefault="00711971" w:rsidP="00711971">
                      <w:pPr>
                        <w:jc w:val="center"/>
                        <w:rPr>
                          <w:b/>
                        </w:rPr>
                      </w:pPr>
                      <w:r w:rsidRPr="00711971">
                        <w:rPr>
                          <w:b/>
                        </w:rPr>
                        <w:t>RECTAL CONTRAST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F4A1E" w14:textId="77777777" w:rsidR="003761F2" w:rsidRPr="00A25F12" w:rsidRDefault="00711971" w:rsidP="003761F2">
      <w:pPr>
        <w:rPr>
          <w:sz w:val="20"/>
          <w:szCs w:val="20"/>
        </w:rPr>
      </w:pPr>
      <w:r w:rsidRPr="00A25F12">
        <w:rPr>
          <w:sz w:val="20"/>
          <w:szCs w:val="20"/>
        </w:rPr>
        <w:t xml:space="preserve">Technique: Mix 100mL (one bottle) Omnipaque®350 (lohexhol) in one gallon of water. Shake well and pour 1500-1800mL into enema bag (discard any leftover), then administer the mixture rectally per patient tolerance. </w:t>
      </w:r>
    </w:p>
    <w:p w14:paraId="70FB29F3" w14:textId="77777777" w:rsidR="00711971" w:rsidRPr="00D3281C" w:rsidRDefault="00711971" w:rsidP="003761F2">
      <w:pPr>
        <w:rPr>
          <w:b/>
          <w:sz w:val="20"/>
          <w:szCs w:val="20"/>
          <w:u w:val="single"/>
        </w:rPr>
      </w:pPr>
      <w:r w:rsidRPr="00D3281C">
        <w:rPr>
          <w:b/>
          <w:sz w:val="20"/>
          <w:szCs w:val="20"/>
          <w:u w:val="single"/>
        </w:rPr>
        <w:t>Indications:</w:t>
      </w:r>
    </w:p>
    <w:p w14:paraId="6E85534C" w14:textId="77777777" w:rsidR="00711971" w:rsidRPr="00A25F12" w:rsidRDefault="00711971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25F12">
        <w:rPr>
          <w:sz w:val="20"/>
          <w:szCs w:val="20"/>
        </w:rPr>
        <w:t>Evaluating for perforation or anastomotic leak after anorectal or colonic surgical intervention.</w:t>
      </w:r>
    </w:p>
    <w:p w14:paraId="0BD98CEA" w14:textId="77777777" w:rsidR="00711971" w:rsidRPr="00A25F12" w:rsidRDefault="00711971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25F12">
        <w:rPr>
          <w:sz w:val="20"/>
          <w:szCs w:val="20"/>
        </w:rPr>
        <w:t>Suspected or know rectal or colonic fistula.</w:t>
      </w:r>
    </w:p>
    <w:p w14:paraId="33FF9BB0" w14:textId="77777777" w:rsidR="00711971" w:rsidRDefault="00711971" w:rsidP="00711971">
      <w:pPr>
        <w:pStyle w:val="ListParagraph"/>
        <w:numPr>
          <w:ilvl w:val="0"/>
          <w:numId w:val="12"/>
        </w:numPr>
      </w:pPr>
      <w:r w:rsidRPr="00A25F12">
        <w:rPr>
          <w:sz w:val="20"/>
          <w:szCs w:val="20"/>
        </w:rPr>
        <w:t>Re-evaluation of a pelvic abscess or fluid collection (if requested by ordering provider</w:t>
      </w:r>
      <w:r>
        <w:t>).</w:t>
      </w:r>
    </w:p>
    <w:p w14:paraId="70048EFE" w14:textId="77777777" w:rsidR="00711971" w:rsidRDefault="00711971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25F12">
        <w:rPr>
          <w:sz w:val="20"/>
          <w:szCs w:val="20"/>
        </w:rPr>
        <w:t>Follow up of complicated diverticulitis (if requested by ordering provider).</w:t>
      </w:r>
    </w:p>
    <w:p w14:paraId="79EEA13A" w14:textId="77777777" w:rsidR="00F67306" w:rsidRDefault="00F67306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Colocutaneous or colovesical fistula</w:t>
      </w:r>
    </w:p>
    <w:p w14:paraId="52AC311E" w14:textId="77777777" w:rsidR="00F67306" w:rsidRDefault="00F67306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Pelvic abscess or fluid collection</w:t>
      </w:r>
    </w:p>
    <w:p w14:paraId="32E54043" w14:textId="77777777" w:rsidR="00F67306" w:rsidRDefault="00F67306" w:rsidP="00711971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Rectovaginal fistula</w:t>
      </w:r>
    </w:p>
    <w:p w14:paraId="1FDF278E" w14:textId="77777777" w:rsidR="00F67306" w:rsidRPr="00A25F12" w:rsidRDefault="00F67306" w:rsidP="00F67306">
      <w:pPr>
        <w:pStyle w:val="ListParagraph"/>
        <w:ind w:left="1440"/>
        <w:rPr>
          <w:sz w:val="20"/>
          <w:szCs w:val="20"/>
        </w:rPr>
      </w:pPr>
      <w:r w:rsidRPr="00A25F1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AB4087" wp14:editId="7FD770F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6448425" cy="9048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A2A77" w14:textId="77777777" w:rsidR="00711971" w:rsidRPr="00A25F12" w:rsidRDefault="0071197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5F12">
                              <w:rPr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  <w:p w14:paraId="731BFC9B" w14:textId="77777777" w:rsidR="00667444" w:rsidRPr="00A25F12" w:rsidRDefault="00711971" w:rsidP="006674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25F12">
                              <w:rPr>
                                <w:sz w:val="20"/>
                                <w:szCs w:val="20"/>
                              </w:rPr>
                              <w:t xml:space="preserve">Oral contrast is preferred over rectal contrast due to patient comfort; although, both are likely equally diagnostic if post administration duration is long enough to allow for passage into the rectum. </w:t>
                            </w:r>
                          </w:p>
                          <w:p w14:paraId="13B6BD4C" w14:textId="77777777" w:rsidR="00711971" w:rsidRPr="00A25F12" w:rsidRDefault="00711971" w:rsidP="0066744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A25F1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667444" w:rsidRPr="00A25F12">
                              <w:rPr>
                                <w:sz w:val="20"/>
                                <w:szCs w:val="20"/>
                              </w:rPr>
                              <w:t xml:space="preserve">~2 hours </w:t>
                            </w:r>
                            <w:proofErr w:type="gramStart"/>
                            <w:r w:rsidR="00667444" w:rsidRPr="00A25F12"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 w:rsidR="00667444" w:rsidRPr="00A25F12">
                              <w:rPr>
                                <w:sz w:val="20"/>
                                <w:szCs w:val="20"/>
                              </w:rPr>
                              <w:t xml:space="preserve"> a safe estimate assuming normal bowel motility)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4087" id="_x0000_s1029" type="#_x0000_t202" style="position:absolute;left:0;text-align:left;margin-left:0;margin-top:16.05pt;width:507.75pt;height:71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">
                <v:textbox>
                  <w:txbxContent>
                    <w:p w14:paraId="595A2A77" w14:textId="77777777" w:rsidR="00711971" w:rsidRPr="00A25F12" w:rsidRDefault="0071197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5F12">
                        <w:rPr>
                          <w:b/>
                          <w:sz w:val="20"/>
                          <w:szCs w:val="20"/>
                        </w:rPr>
                        <w:t>NOTE</w:t>
                      </w:r>
                    </w:p>
                    <w:p w14:paraId="731BFC9B" w14:textId="77777777" w:rsidR="00667444" w:rsidRPr="00A25F12" w:rsidRDefault="00711971" w:rsidP="006674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A25F12">
                        <w:rPr>
                          <w:sz w:val="20"/>
                          <w:szCs w:val="20"/>
                        </w:rPr>
                        <w:t xml:space="preserve">Oral contrast is preferred over rectal contrast due to patient comfort; although, both are likely equally diagnostic if post administration duration is long enough to allow for passage into the rectum. </w:t>
                      </w:r>
                    </w:p>
                    <w:p w14:paraId="13B6BD4C" w14:textId="77777777" w:rsidR="00711971" w:rsidRPr="00A25F12" w:rsidRDefault="00711971" w:rsidP="0066744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A25F12">
                        <w:rPr>
                          <w:sz w:val="20"/>
                          <w:szCs w:val="20"/>
                        </w:rPr>
                        <w:t>(</w:t>
                      </w:r>
                      <w:r w:rsidR="00667444" w:rsidRPr="00A25F12">
                        <w:rPr>
                          <w:sz w:val="20"/>
                          <w:szCs w:val="20"/>
                        </w:rPr>
                        <w:t xml:space="preserve">~2 hours </w:t>
                      </w:r>
                      <w:proofErr w:type="gramStart"/>
                      <w:r w:rsidR="00667444" w:rsidRPr="00A25F12">
                        <w:rPr>
                          <w:sz w:val="20"/>
                          <w:szCs w:val="20"/>
                        </w:rPr>
                        <w:t>is</w:t>
                      </w:r>
                      <w:proofErr w:type="gramEnd"/>
                      <w:r w:rsidR="00667444" w:rsidRPr="00A25F12">
                        <w:rPr>
                          <w:sz w:val="20"/>
                          <w:szCs w:val="20"/>
                        </w:rPr>
                        <w:t xml:space="preserve"> a safe estimate assuming normal bowel motility)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FD2490" w14:textId="77777777" w:rsidR="00711971" w:rsidRPr="00A25F12" w:rsidRDefault="00711971" w:rsidP="00711971">
      <w:pPr>
        <w:rPr>
          <w:sz w:val="20"/>
          <w:szCs w:val="20"/>
        </w:rPr>
      </w:pPr>
    </w:p>
    <w:p w14:paraId="60708812" w14:textId="77777777" w:rsidR="00711971" w:rsidRPr="006D09E2" w:rsidRDefault="00711971" w:rsidP="00711971"/>
    <w:sectPr w:rsidR="00711971" w:rsidRPr="006D09E2" w:rsidSect="00A25F12">
      <w:type w:val="continuous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AADA" w14:textId="77777777" w:rsidR="00942155" w:rsidRDefault="00942155" w:rsidP="006D09E2">
      <w:pPr>
        <w:spacing w:after="0" w:line="240" w:lineRule="auto"/>
      </w:pPr>
      <w:r>
        <w:separator/>
      </w:r>
    </w:p>
  </w:endnote>
  <w:endnote w:type="continuationSeparator" w:id="0">
    <w:p w14:paraId="50B33A48" w14:textId="77777777" w:rsidR="00942155" w:rsidRDefault="00942155" w:rsidP="006D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CAB1" w14:textId="77777777" w:rsidR="00E40FE5" w:rsidRDefault="00E40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E7F6" w14:textId="77777777" w:rsidR="00830BA6" w:rsidRPr="00E40FE5" w:rsidRDefault="00A25F12" w:rsidP="00CD56D2">
    <w:pPr>
      <w:pStyle w:val="Footer"/>
      <w:tabs>
        <w:tab w:val="clear" w:pos="4680"/>
        <w:tab w:val="clear" w:pos="9360"/>
      </w:tabs>
      <w:rPr>
        <w:caps/>
        <w:color w:val="000000" w:themeColor="text1"/>
        <w:sz w:val="18"/>
        <w:szCs w:val="18"/>
      </w:rPr>
    </w:pPr>
    <w:r w:rsidRPr="00E40FE5">
      <w:rPr>
        <w:caps/>
        <w:color w:val="000000" w:themeColor="text1"/>
        <w:sz w:val="18"/>
        <w:szCs w:val="18"/>
      </w:rPr>
      <w:t xml:space="preserve">Author: </w:t>
    </w:r>
    <w:r w:rsidR="00343E13" w:rsidRPr="00E40FE5">
      <w:rPr>
        <w:caps/>
        <w:color w:val="000000" w:themeColor="text1"/>
        <w:sz w:val="18"/>
        <w:szCs w:val="18"/>
      </w:rPr>
      <w:t>Diagnostic imaging specialist (ct):</w:t>
    </w:r>
    <w:r w:rsidR="00830BA6" w:rsidRPr="00E40FE5">
      <w:rPr>
        <w:caps/>
        <w:color w:val="000000" w:themeColor="text1"/>
        <w:sz w:val="18"/>
        <w:szCs w:val="18"/>
      </w:rPr>
      <w:t xml:space="preserve"> katrina bell</w:t>
    </w:r>
    <w:r w:rsidR="00645626" w:rsidRPr="00E40FE5">
      <w:rPr>
        <w:caps/>
        <w:color w:val="000000" w:themeColor="text1"/>
        <w:sz w:val="18"/>
        <w:szCs w:val="18"/>
      </w:rPr>
      <w:t>, BS, RT (R) (CT)</w:t>
    </w:r>
  </w:p>
  <w:p w14:paraId="4C84B22A" w14:textId="77777777" w:rsidR="00343E13" w:rsidRPr="00E40FE5" w:rsidRDefault="00343E13" w:rsidP="00CD56D2">
    <w:pPr>
      <w:pStyle w:val="Footer"/>
      <w:tabs>
        <w:tab w:val="clear" w:pos="4680"/>
        <w:tab w:val="clear" w:pos="9360"/>
      </w:tabs>
      <w:rPr>
        <w:caps/>
        <w:color w:val="000000" w:themeColor="text1"/>
        <w:sz w:val="18"/>
        <w:szCs w:val="18"/>
      </w:rPr>
    </w:pPr>
    <w:r w:rsidRPr="00E40FE5">
      <w:rPr>
        <w:caps/>
        <w:color w:val="000000" w:themeColor="text1"/>
        <w:sz w:val="18"/>
        <w:szCs w:val="18"/>
      </w:rPr>
      <w:t>Manager Radiology Imaging quality and education: ashley thomas</w:t>
    </w:r>
    <w:r w:rsidR="00645626" w:rsidRPr="00E40FE5">
      <w:rPr>
        <w:caps/>
        <w:color w:val="000000" w:themeColor="text1"/>
        <w:sz w:val="18"/>
        <w:szCs w:val="18"/>
      </w:rPr>
      <w:t>, MSHA, CHQS, RT (R) (CT), LSSGB</w:t>
    </w:r>
  </w:p>
  <w:p w14:paraId="19B3E162" w14:textId="77777777" w:rsidR="00A25F12" w:rsidRPr="00E40FE5" w:rsidRDefault="00A25F12" w:rsidP="00CD56D2">
    <w:pPr>
      <w:pStyle w:val="Footer"/>
      <w:tabs>
        <w:tab w:val="clear" w:pos="4680"/>
        <w:tab w:val="clear" w:pos="9360"/>
      </w:tabs>
      <w:rPr>
        <w:caps/>
        <w:color w:val="000000" w:themeColor="text1"/>
        <w:sz w:val="18"/>
        <w:szCs w:val="18"/>
      </w:rPr>
    </w:pPr>
    <w:r w:rsidRPr="00E40FE5">
      <w:rPr>
        <w:caps/>
        <w:color w:val="000000" w:themeColor="text1"/>
        <w:sz w:val="18"/>
        <w:szCs w:val="18"/>
      </w:rPr>
      <w:t>CT MODALITY CHIEF: DAVID SUMMERLIN</w:t>
    </w:r>
    <w:r w:rsidR="00645626" w:rsidRPr="00E40FE5">
      <w:rPr>
        <w:caps/>
        <w:color w:val="000000" w:themeColor="text1"/>
        <w:sz w:val="18"/>
        <w:szCs w:val="18"/>
      </w:rPr>
      <w:t>, MD</w:t>
    </w:r>
  </w:p>
  <w:p w14:paraId="24DA2433" w14:textId="77777777" w:rsidR="00830BA6" w:rsidRPr="00E40FE5" w:rsidRDefault="00830BA6" w:rsidP="00CD56D2">
    <w:pPr>
      <w:pStyle w:val="Footer"/>
      <w:tabs>
        <w:tab w:val="clear" w:pos="4680"/>
        <w:tab w:val="clear" w:pos="9360"/>
      </w:tabs>
      <w:rPr>
        <w:caps/>
        <w:color w:val="000000" w:themeColor="text1"/>
        <w:sz w:val="18"/>
        <w:szCs w:val="18"/>
      </w:rPr>
    </w:pPr>
    <w:r w:rsidRPr="00E40FE5">
      <w:rPr>
        <w:caps/>
        <w:color w:val="000000" w:themeColor="text1"/>
        <w:sz w:val="18"/>
        <w:szCs w:val="18"/>
      </w:rPr>
      <w:t>Vice chair of Quality and patient experience: sam galgano</w:t>
    </w:r>
    <w:r w:rsidR="00645626" w:rsidRPr="00E40FE5">
      <w:rPr>
        <w:caps/>
        <w:color w:val="000000" w:themeColor="text1"/>
        <w:sz w:val="18"/>
        <w:szCs w:val="18"/>
      </w:rPr>
      <w:t>, MD</w:t>
    </w:r>
  </w:p>
  <w:p w14:paraId="38EA152F" w14:textId="073B86AB" w:rsidR="00047225" w:rsidRPr="00E40FE5" w:rsidRDefault="00CD56D2" w:rsidP="00CD56D2">
    <w:pPr>
      <w:pStyle w:val="Footer"/>
      <w:tabs>
        <w:tab w:val="clear" w:pos="4680"/>
        <w:tab w:val="clear" w:pos="9360"/>
      </w:tabs>
      <w:rPr>
        <w:caps/>
        <w:noProof/>
        <w:color w:val="000000" w:themeColor="text1"/>
        <w:sz w:val="18"/>
        <w:szCs w:val="18"/>
      </w:rPr>
    </w:pPr>
    <w:r w:rsidRPr="00E40FE5">
      <w:rPr>
        <w:caps/>
        <w:noProof/>
        <w:color w:val="000000" w:themeColor="text1"/>
        <w:sz w:val="18"/>
        <w:szCs w:val="18"/>
      </w:rPr>
      <w:t>9/17/20</w:t>
    </w:r>
    <w:r w:rsidR="00047225" w:rsidRPr="00E40FE5">
      <w:rPr>
        <w:caps/>
        <w:noProof/>
        <w:color w:val="000000" w:themeColor="text1"/>
        <w:sz w:val="18"/>
        <w:szCs w:val="18"/>
      </w:rPr>
      <w:t>24</w:t>
    </w:r>
  </w:p>
  <w:p w14:paraId="52D34090" w14:textId="77777777" w:rsidR="00830BA6" w:rsidRDefault="00830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E3B" w14:textId="77777777" w:rsidR="00E40FE5" w:rsidRDefault="00E40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6A4E" w14:textId="77777777" w:rsidR="00942155" w:rsidRDefault="00942155" w:rsidP="006D09E2">
      <w:pPr>
        <w:spacing w:after="0" w:line="240" w:lineRule="auto"/>
      </w:pPr>
      <w:r>
        <w:separator/>
      </w:r>
    </w:p>
  </w:footnote>
  <w:footnote w:type="continuationSeparator" w:id="0">
    <w:p w14:paraId="43FF02F8" w14:textId="77777777" w:rsidR="00942155" w:rsidRDefault="00942155" w:rsidP="006D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2B64" w14:textId="77777777" w:rsidR="00E40FE5" w:rsidRDefault="00E40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6E97" w14:textId="77777777" w:rsidR="006D09E2" w:rsidRDefault="006D09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7C0CC97" wp14:editId="4A758E7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3EB38" w14:textId="77777777" w:rsidR="006D09E2" w:rsidRDefault="00A25F1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Enteric contrast protocol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7C0CC97" id="Rectangle 197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023EB38" w14:textId="77777777" w:rsidR="006D09E2" w:rsidRDefault="00A25F1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Enteric contrast protocol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1BF" w14:textId="77777777" w:rsidR="00E40FE5" w:rsidRDefault="00E4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50"/>
    <w:multiLevelType w:val="hybridMultilevel"/>
    <w:tmpl w:val="2BAE01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D29E1"/>
    <w:multiLevelType w:val="hybridMultilevel"/>
    <w:tmpl w:val="C2723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160"/>
    <w:multiLevelType w:val="hybridMultilevel"/>
    <w:tmpl w:val="B712CA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83E6B"/>
    <w:multiLevelType w:val="hybridMultilevel"/>
    <w:tmpl w:val="79F06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181B"/>
    <w:multiLevelType w:val="hybridMultilevel"/>
    <w:tmpl w:val="70BC3D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4231D4"/>
    <w:multiLevelType w:val="hybridMultilevel"/>
    <w:tmpl w:val="9C3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25FE"/>
    <w:multiLevelType w:val="hybridMultilevel"/>
    <w:tmpl w:val="DD46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C75AB"/>
    <w:multiLevelType w:val="hybridMultilevel"/>
    <w:tmpl w:val="C5DAC9B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CC02B8"/>
    <w:multiLevelType w:val="hybridMultilevel"/>
    <w:tmpl w:val="00D2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85580"/>
    <w:multiLevelType w:val="hybridMultilevel"/>
    <w:tmpl w:val="7A92C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86EA0"/>
    <w:multiLevelType w:val="hybridMultilevel"/>
    <w:tmpl w:val="797E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2E56"/>
    <w:multiLevelType w:val="hybridMultilevel"/>
    <w:tmpl w:val="31E4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509B"/>
    <w:multiLevelType w:val="hybridMultilevel"/>
    <w:tmpl w:val="68C6E6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5926">
    <w:abstractNumId w:val="11"/>
  </w:num>
  <w:num w:numId="2" w16cid:durableId="315770691">
    <w:abstractNumId w:val="8"/>
  </w:num>
  <w:num w:numId="3" w16cid:durableId="2134975336">
    <w:abstractNumId w:val="12"/>
  </w:num>
  <w:num w:numId="4" w16cid:durableId="701788270">
    <w:abstractNumId w:val="7"/>
  </w:num>
  <w:num w:numId="5" w16cid:durableId="288047656">
    <w:abstractNumId w:val="3"/>
  </w:num>
  <w:num w:numId="6" w16cid:durableId="607274849">
    <w:abstractNumId w:val="2"/>
  </w:num>
  <w:num w:numId="7" w16cid:durableId="224031943">
    <w:abstractNumId w:val="6"/>
  </w:num>
  <w:num w:numId="8" w16cid:durableId="1318801706">
    <w:abstractNumId w:val="10"/>
  </w:num>
  <w:num w:numId="9" w16cid:durableId="700980690">
    <w:abstractNumId w:val="4"/>
  </w:num>
  <w:num w:numId="10" w16cid:durableId="1901402620">
    <w:abstractNumId w:val="5"/>
  </w:num>
  <w:num w:numId="11" w16cid:durableId="900486146">
    <w:abstractNumId w:val="0"/>
  </w:num>
  <w:num w:numId="12" w16cid:durableId="1634554771">
    <w:abstractNumId w:val="9"/>
  </w:num>
  <w:num w:numId="13" w16cid:durableId="17361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E2"/>
    <w:rsid w:val="00020A8B"/>
    <w:rsid w:val="00047225"/>
    <w:rsid w:val="00071668"/>
    <w:rsid w:val="00087B75"/>
    <w:rsid w:val="000B22BF"/>
    <w:rsid w:val="001328AC"/>
    <w:rsid w:val="001A04E3"/>
    <w:rsid w:val="00223635"/>
    <w:rsid w:val="00343E13"/>
    <w:rsid w:val="003761F2"/>
    <w:rsid w:val="003A02E7"/>
    <w:rsid w:val="00400170"/>
    <w:rsid w:val="0044435B"/>
    <w:rsid w:val="005579AF"/>
    <w:rsid w:val="005940C2"/>
    <w:rsid w:val="00611F54"/>
    <w:rsid w:val="00626D3D"/>
    <w:rsid w:val="00645626"/>
    <w:rsid w:val="00667444"/>
    <w:rsid w:val="006D09E2"/>
    <w:rsid w:val="006D614D"/>
    <w:rsid w:val="006E0BC4"/>
    <w:rsid w:val="006E68BD"/>
    <w:rsid w:val="00711971"/>
    <w:rsid w:val="00830BA6"/>
    <w:rsid w:val="00942155"/>
    <w:rsid w:val="00964FCE"/>
    <w:rsid w:val="00A25F12"/>
    <w:rsid w:val="00A970F2"/>
    <w:rsid w:val="00BE4A5F"/>
    <w:rsid w:val="00CD56D2"/>
    <w:rsid w:val="00D3281C"/>
    <w:rsid w:val="00DC505D"/>
    <w:rsid w:val="00E01760"/>
    <w:rsid w:val="00E40FE5"/>
    <w:rsid w:val="00ED5676"/>
    <w:rsid w:val="00F51E6B"/>
    <w:rsid w:val="00F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51DD1"/>
  <w15:chartTrackingRefBased/>
  <w15:docId w15:val="{51E9C5AD-DEE4-428F-906D-D12F399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9E2"/>
  </w:style>
  <w:style w:type="paragraph" w:styleId="Footer">
    <w:name w:val="footer"/>
    <w:basedOn w:val="Normal"/>
    <w:link w:val="FooterChar"/>
    <w:uiPriority w:val="99"/>
    <w:unhideWhenUsed/>
    <w:rsid w:val="006D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9E2"/>
  </w:style>
  <w:style w:type="paragraph" w:styleId="ListParagraph">
    <w:name w:val="List Paragraph"/>
    <w:basedOn w:val="Normal"/>
    <w:uiPriority w:val="34"/>
    <w:qFormat/>
    <w:rsid w:val="006D09E2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071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3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EC3E-3933-4626-A5C0-83817257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Enteric contrast protocol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Enteric contrast protocol</dc:title>
  <dc:subject/>
  <dc:creator>Alford, Katrina</dc:creator>
  <cp:keywords/>
  <dc:description/>
  <cp:lastModifiedBy>Alford, Katrina</cp:lastModifiedBy>
  <cp:revision>2</cp:revision>
  <dcterms:created xsi:type="dcterms:W3CDTF">2025-03-12T21:12:00Z</dcterms:created>
  <dcterms:modified xsi:type="dcterms:W3CDTF">2025-03-12T21:12:00Z</dcterms:modified>
</cp:coreProperties>
</file>