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43E26" w14:textId="77777777" w:rsidR="009D3809" w:rsidRPr="009D3809" w:rsidRDefault="009D3809" w:rsidP="00114EF1">
      <w:pPr>
        <w:rPr>
          <w:rFonts w:ascii="Arial" w:hAnsi="Arial" w:cs="Arial"/>
          <w:b/>
          <w:u w:val="single"/>
        </w:rPr>
      </w:pPr>
    </w:p>
    <w:p w14:paraId="0D55AC24" w14:textId="73BDD266" w:rsidR="007756C8" w:rsidRPr="006D6949" w:rsidRDefault="009D3809" w:rsidP="00F44AA6">
      <w:pPr>
        <w:jc w:val="center"/>
        <w:rPr>
          <w:rFonts w:ascii="Arial" w:hAnsi="Arial" w:cs="Arial"/>
          <w:b/>
          <w:i/>
          <w:sz w:val="22"/>
          <w:szCs w:val="22"/>
        </w:rPr>
      </w:pPr>
      <w:r w:rsidRPr="006D6949">
        <w:rPr>
          <w:rFonts w:ascii="Arial" w:hAnsi="Arial" w:cs="Arial"/>
          <w:b/>
          <w:i/>
          <w:sz w:val="22"/>
          <w:szCs w:val="22"/>
        </w:rPr>
        <w:t>TITLE:</w:t>
      </w:r>
      <w:r w:rsidR="00F44AA6" w:rsidRPr="006D6949">
        <w:rPr>
          <w:rFonts w:ascii="Arial" w:hAnsi="Arial" w:cs="Arial"/>
          <w:b/>
          <w:i/>
          <w:sz w:val="22"/>
          <w:szCs w:val="22"/>
        </w:rPr>
        <w:t xml:space="preserve"> </w:t>
      </w:r>
      <w:r w:rsidR="007756C8" w:rsidRPr="006D6949">
        <w:rPr>
          <w:rFonts w:ascii="Arial" w:hAnsi="Arial" w:cs="Arial"/>
          <w:b/>
          <w:i/>
          <w:sz w:val="22"/>
          <w:szCs w:val="22"/>
        </w:rPr>
        <w:t>Monitor Visits</w:t>
      </w:r>
    </w:p>
    <w:p w14:paraId="58D43E29" w14:textId="5A41B7E4" w:rsidR="007A3D6B" w:rsidRPr="00C067D7" w:rsidRDefault="006D6949" w:rsidP="007756C8">
      <w:pPr>
        <w:tabs>
          <w:tab w:val="left" w:pos="2505"/>
        </w:tabs>
        <w:rPr>
          <w:rFonts w:ascii="Arial" w:hAnsi="Arial" w:cs="Arial"/>
          <w:b/>
          <w:i/>
          <w:sz w:val="22"/>
          <w:szCs w:val="22"/>
        </w:rPr>
      </w:pPr>
      <w:r w:rsidRPr="006D6949">
        <w:rPr>
          <w:rFonts w:ascii="Arial" w:hAnsi="Arial" w:cs="Arial"/>
          <w:b/>
          <w:i/>
          <w:sz w:val="22"/>
          <w:szCs w:val="22"/>
        </w:rPr>
        <w:t xml:space="preserve">SOP </w:t>
      </w:r>
      <w:r w:rsidR="00114EF1" w:rsidRPr="006D6949">
        <w:rPr>
          <w:rFonts w:ascii="Arial" w:hAnsi="Arial" w:cs="Arial"/>
          <w:b/>
          <w:i/>
          <w:sz w:val="22"/>
          <w:szCs w:val="22"/>
        </w:rPr>
        <w:t xml:space="preserve"> </w:t>
      </w:r>
      <w:r w:rsidR="007127B8">
        <w:rPr>
          <w:rFonts w:ascii="Arial" w:hAnsi="Arial" w:cs="Arial"/>
          <w:sz w:val="22"/>
          <w:szCs w:val="22"/>
        </w:rPr>
        <w:t>CL</w:t>
      </w:r>
      <w:bookmarkStart w:id="0" w:name="_GoBack"/>
      <w:bookmarkEnd w:id="0"/>
      <w:r w:rsidR="008863BF" w:rsidRPr="006D6949">
        <w:rPr>
          <w:rFonts w:ascii="Arial" w:hAnsi="Arial" w:cs="Arial"/>
          <w:sz w:val="22"/>
          <w:szCs w:val="22"/>
        </w:rPr>
        <w:t xml:space="preserve"> XX.XX</w:t>
      </w:r>
    </w:p>
    <w:p w14:paraId="58D43E2A" w14:textId="543D76DC" w:rsidR="007A3D6B" w:rsidRDefault="007A3D6B" w:rsidP="007A3D6B">
      <w:pPr>
        <w:rPr>
          <w:rFonts w:ascii="Arial" w:hAnsi="Arial" w:cs="Arial"/>
          <w:b/>
          <w:i/>
          <w:sz w:val="22"/>
          <w:szCs w:val="22"/>
        </w:rPr>
      </w:pPr>
      <w:r w:rsidRPr="0062047B">
        <w:rPr>
          <w:rFonts w:ascii="Arial" w:hAnsi="Arial" w:cs="Arial"/>
          <w:b/>
          <w:i/>
          <w:sz w:val="22"/>
          <w:szCs w:val="22"/>
        </w:rPr>
        <w:t>Author(s):</w:t>
      </w:r>
      <w:r w:rsidR="00605661">
        <w:rPr>
          <w:rFonts w:ascii="Arial" w:hAnsi="Arial" w:cs="Arial"/>
          <w:b/>
          <w:i/>
          <w:sz w:val="22"/>
          <w:szCs w:val="22"/>
        </w:rPr>
        <w:t xml:space="preserve"> </w:t>
      </w:r>
    </w:p>
    <w:p w14:paraId="58D43E2B"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14:paraId="58D43E2C" w14:textId="77777777" w:rsidR="00605661" w:rsidRPr="0062047B" w:rsidRDefault="00605661" w:rsidP="00605661">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14:paraId="58D43E2D" w14:textId="77777777" w:rsidR="00605661" w:rsidRPr="0062047B" w:rsidRDefault="00605661" w:rsidP="00605661">
      <w:pPr>
        <w:rPr>
          <w:rFonts w:ascii="Arial" w:hAnsi="Arial" w:cs="Arial"/>
          <w:b/>
          <w:i/>
          <w:sz w:val="22"/>
          <w:szCs w:val="22"/>
        </w:rPr>
      </w:pPr>
    </w:p>
    <w:p w14:paraId="58D43E2E"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58D43E2F" w14:textId="77777777" w:rsidR="00605661" w:rsidRPr="0062047B" w:rsidRDefault="00605661" w:rsidP="007A3D6B">
      <w:pPr>
        <w:rPr>
          <w:rFonts w:ascii="Arial" w:hAnsi="Arial" w:cs="Arial"/>
          <w:b/>
          <w:i/>
          <w:sz w:val="22"/>
          <w:szCs w:val="22"/>
        </w:rPr>
      </w:pPr>
    </w:p>
    <w:p w14:paraId="58D43E30"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58D43E31"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14:paraId="58D43E32" w14:textId="77777777" w:rsidR="007A3D6B" w:rsidRPr="0062047B" w:rsidRDefault="00605661" w:rsidP="00605661">
      <w:pPr>
        <w:rPr>
          <w:rFonts w:ascii="Arial" w:hAnsi="Arial" w:cs="Arial"/>
          <w:b/>
          <w:i/>
          <w:sz w:val="22"/>
          <w:szCs w:val="22"/>
        </w:rPr>
      </w:pPr>
      <w:r>
        <w:rPr>
          <w:rFonts w:ascii="Arial" w:hAnsi="Arial" w:cs="Arial"/>
          <w:b/>
          <w:i/>
          <w:sz w:val="22"/>
          <w:szCs w:val="22"/>
        </w:rPr>
        <w:t xml:space="preserve">           </w:t>
      </w:r>
      <w:r w:rsidR="007A3D6B" w:rsidRPr="0062047B">
        <w:rPr>
          <w:rFonts w:ascii="Arial" w:hAnsi="Arial" w:cs="Arial"/>
          <w:b/>
          <w:i/>
          <w:sz w:val="22"/>
          <w:szCs w:val="22"/>
        </w:rPr>
        <w:t>_______________________________________         ________________</w:t>
      </w:r>
    </w:p>
    <w:p w14:paraId="58D43E33" w14:textId="77777777" w:rsidR="007A3D6B" w:rsidRPr="0062047B" w:rsidRDefault="007A3D6B" w:rsidP="007A3D6B">
      <w:pPr>
        <w:rPr>
          <w:rFonts w:ascii="Arial" w:hAnsi="Arial" w:cs="Arial"/>
          <w:b/>
          <w:i/>
          <w:sz w:val="22"/>
          <w:szCs w:val="22"/>
        </w:rPr>
      </w:pPr>
    </w:p>
    <w:p w14:paraId="58D43E34"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58D43E35" w14:textId="77777777" w:rsidR="007A3D6B" w:rsidRPr="0062047B" w:rsidRDefault="007A3D6B" w:rsidP="007A3D6B">
      <w:pPr>
        <w:rPr>
          <w:rFonts w:ascii="Arial" w:hAnsi="Arial" w:cs="Arial"/>
          <w:b/>
          <w:i/>
          <w:sz w:val="22"/>
          <w:szCs w:val="22"/>
        </w:rPr>
      </w:pPr>
    </w:p>
    <w:p w14:paraId="58D43E36" w14:textId="77777777" w:rsidR="007A3D6B" w:rsidRDefault="007A3D6B" w:rsidP="007A3D6B">
      <w:pPr>
        <w:rPr>
          <w:rFonts w:ascii="Arial" w:hAnsi="Arial" w:cs="Arial"/>
          <w:b/>
          <w:i/>
          <w:sz w:val="22"/>
          <w:szCs w:val="22"/>
        </w:rPr>
      </w:pPr>
      <w:r w:rsidRPr="0062047B">
        <w:rPr>
          <w:rFonts w:ascii="Arial" w:hAnsi="Arial" w:cs="Arial"/>
          <w:b/>
          <w:i/>
          <w:sz w:val="22"/>
          <w:szCs w:val="22"/>
        </w:rPr>
        <w:t>Revision Version</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Effective date</w:t>
      </w:r>
      <w:r w:rsidRPr="0062047B">
        <w:rPr>
          <w:rFonts w:ascii="Arial" w:hAnsi="Arial" w:cs="Arial"/>
          <w:b/>
          <w:i/>
          <w:sz w:val="22"/>
          <w:szCs w:val="22"/>
        </w:rPr>
        <w:tab/>
      </w:r>
      <w:r w:rsidR="00605661">
        <w:rPr>
          <w:rFonts w:ascii="Arial" w:hAnsi="Arial" w:cs="Arial"/>
          <w:b/>
          <w:i/>
          <w:sz w:val="22"/>
          <w:szCs w:val="22"/>
        </w:rPr>
        <w:t xml:space="preserve">            </w:t>
      </w:r>
      <w:r w:rsidRPr="0062047B">
        <w:rPr>
          <w:rFonts w:ascii="Arial" w:hAnsi="Arial" w:cs="Arial"/>
          <w:b/>
          <w:i/>
          <w:sz w:val="22"/>
          <w:szCs w:val="22"/>
        </w:rPr>
        <w:t>Description</w:t>
      </w:r>
    </w:p>
    <w:p w14:paraId="58D43E37" w14:textId="77777777" w:rsidR="00605661" w:rsidRPr="0062047B" w:rsidRDefault="00605661" w:rsidP="007A3D6B">
      <w:pPr>
        <w:rPr>
          <w:rFonts w:ascii="Arial" w:hAnsi="Arial" w:cs="Arial"/>
          <w:b/>
          <w:i/>
          <w:sz w:val="22"/>
          <w:szCs w:val="22"/>
        </w:rPr>
      </w:pPr>
    </w:p>
    <w:p w14:paraId="58D43E38" w14:textId="34CE4725" w:rsidR="007A3D6B" w:rsidRDefault="007756C8" w:rsidP="007A3D6B">
      <w:pPr>
        <w:rPr>
          <w:rFonts w:ascii="Arial" w:hAnsi="Arial" w:cs="Arial"/>
          <w:b/>
          <w:i/>
          <w:sz w:val="22"/>
          <w:szCs w:val="22"/>
        </w:rPr>
      </w:pPr>
      <w:r>
        <w:rPr>
          <w:rFonts w:ascii="Arial" w:hAnsi="Arial" w:cs="Arial"/>
          <w:b/>
          <w:i/>
          <w:sz w:val="22"/>
          <w:szCs w:val="22"/>
        </w:rPr>
        <w:tab/>
        <w:t>_</w:t>
      </w:r>
      <w:r w:rsidR="007A3D6B" w:rsidRPr="0062047B">
        <w:rPr>
          <w:rFonts w:ascii="Arial" w:hAnsi="Arial" w:cs="Arial"/>
          <w:b/>
          <w:i/>
          <w:sz w:val="22"/>
          <w:szCs w:val="22"/>
        </w:rPr>
        <w:t>_</w:t>
      </w:r>
      <w:r w:rsidR="00205F97">
        <w:rPr>
          <w:rFonts w:ascii="Arial" w:hAnsi="Arial" w:cs="Arial"/>
          <w:sz w:val="22"/>
          <w:szCs w:val="22"/>
          <w:u w:val="single"/>
        </w:rPr>
        <w:t>__</w:t>
      </w:r>
      <w:r>
        <w:rPr>
          <w:rFonts w:ascii="Arial" w:hAnsi="Arial" w:cs="Arial"/>
          <w:sz w:val="22"/>
          <w:szCs w:val="22"/>
        </w:rPr>
        <w:t>_</w:t>
      </w:r>
      <w:r w:rsidR="00205F97">
        <w:rPr>
          <w:rFonts w:ascii="Arial" w:hAnsi="Arial" w:cs="Arial"/>
          <w:sz w:val="22"/>
          <w:szCs w:val="22"/>
        </w:rPr>
        <w:t>_</w:t>
      </w:r>
      <w:r w:rsidR="007A3D6B" w:rsidRPr="007756C8">
        <w:rPr>
          <w:rFonts w:ascii="Arial" w:hAnsi="Arial" w:cs="Arial"/>
          <w:sz w:val="22"/>
          <w:szCs w:val="22"/>
        </w:rPr>
        <w:t>_</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sidR="007A3D6B" w:rsidRPr="0062047B">
        <w:rPr>
          <w:rFonts w:ascii="Arial" w:hAnsi="Arial" w:cs="Arial"/>
          <w:b/>
          <w:i/>
          <w:sz w:val="22"/>
          <w:szCs w:val="22"/>
        </w:rPr>
        <w:t>_</w:t>
      </w:r>
      <w:r w:rsidR="00205F97">
        <w:rPr>
          <w:rFonts w:ascii="Arial" w:hAnsi="Arial" w:cs="Arial"/>
          <w:sz w:val="22"/>
          <w:szCs w:val="22"/>
          <w:u w:val="single"/>
        </w:rPr>
        <w:t>______</w:t>
      </w:r>
      <w:r w:rsidRPr="007756C8">
        <w:rPr>
          <w:rFonts w:ascii="Arial" w:hAnsi="Arial" w:cs="Arial"/>
          <w:sz w:val="22"/>
          <w:szCs w:val="22"/>
          <w:u w:val="single"/>
        </w:rPr>
        <w:t>___</w:t>
      </w:r>
      <w:r w:rsidR="007A3D6B" w:rsidRPr="007756C8">
        <w:rPr>
          <w:rFonts w:ascii="Arial" w:hAnsi="Arial" w:cs="Arial"/>
          <w:sz w:val="22"/>
          <w:szCs w:val="22"/>
          <w:u w:val="single"/>
        </w:rPr>
        <w:t>_</w:t>
      </w:r>
      <w:r w:rsidR="007A3D6B" w:rsidRPr="0062047B">
        <w:rPr>
          <w:rFonts w:ascii="Arial" w:hAnsi="Arial" w:cs="Arial"/>
          <w:b/>
          <w:i/>
          <w:sz w:val="22"/>
          <w:szCs w:val="22"/>
        </w:rPr>
        <w:tab/>
      </w:r>
      <w:r>
        <w:rPr>
          <w:rFonts w:ascii="Arial" w:hAnsi="Arial" w:cs="Arial"/>
          <w:b/>
          <w:i/>
          <w:sz w:val="22"/>
          <w:szCs w:val="22"/>
        </w:rPr>
        <w:tab/>
      </w:r>
      <w:r w:rsidR="007A3D6B" w:rsidRPr="0062047B">
        <w:rPr>
          <w:rFonts w:ascii="Arial" w:hAnsi="Arial" w:cs="Arial"/>
          <w:b/>
          <w:i/>
          <w:sz w:val="22"/>
          <w:szCs w:val="22"/>
        </w:rPr>
        <w:t>_________________</w:t>
      </w:r>
    </w:p>
    <w:p w14:paraId="58D43E39" w14:textId="77777777" w:rsidR="00605661" w:rsidRPr="0062047B" w:rsidRDefault="00605661" w:rsidP="007A3D6B">
      <w:pPr>
        <w:rPr>
          <w:rFonts w:ascii="Arial" w:hAnsi="Arial" w:cs="Arial"/>
          <w:b/>
          <w:i/>
          <w:sz w:val="22"/>
          <w:szCs w:val="22"/>
        </w:rPr>
      </w:pPr>
    </w:p>
    <w:p w14:paraId="58D43E3A" w14:textId="028A92ED" w:rsidR="00605661" w:rsidRDefault="007756C8" w:rsidP="007A3D6B">
      <w:pPr>
        <w:rPr>
          <w:rFonts w:ascii="Arial" w:hAnsi="Arial" w:cs="Arial"/>
          <w:b/>
          <w:i/>
          <w:sz w:val="22"/>
          <w:szCs w:val="22"/>
        </w:rPr>
      </w:pPr>
      <w:r>
        <w:rPr>
          <w:rFonts w:ascii="Arial" w:hAnsi="Arial" w:cs="Arial"/>
          <w:b/>
          <w:i/>
          <w:sz w:val="22"/>
          <w:szCs w:val="22"/>
        </w:rPr>
        <w:tab/>
      </w:r>
      <w:r w:rsidR="007A3D6B" w:rsidRPr="0062047B">
        <w:rPr>
          <w:rFonts w:ascii="Arial" w:hAnsi="Arial" w:cs="Arial"/>
          <w:b/>
          <w:i/>
          <w:sz w:val="22"/>
          <w:szCs w:val="22"/>
        </w:rPr>
        <w:t>__</w:t>
      </w:r>
      <w:r w:rsidR="00205F97">
        <w:rPr>
          <w:rFonts w:ascii="Arial" w:hAnsi="Arial" w:cs="Arial"/>
          <w:sz w:val="22"/>
          <w:szCs w:val="22"/>
          <w:u w:val="single"/>
        </w:rPr>
        <w:t>__</w:t>
      </w:r>
      <w:r w:rsidR="007A3D6B" w:rsidRPr="007756C8">
        <w:rPr>
          <w:rFonts w:ascii="Arial" w:hAnsi="Arial" w:cs="Arial"/>
          <w:sz w:val="22"/>
          <w:szCs w:val="22"/>
          <w:u w:val="single"/>
        </w:rPr>
        <w:t>___</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t>_</w:t>
      </w:r>
      <w:r w:rsidR="00205F97">
        <w:rPr>
          <w:rFonts w:ascii="Arial" w:hAnsi="Arial" w:cs="Arial"/>
          <w:sz w:val="22"/>
          <w:szCs w:val="22"/>
          <w:u w:val="single"/>
        </w:rPr>
        <w:t>______</w:t>
      </w:r>
      <w:r>
        <w:rPr>
          <w:rFonts w:ascii="Arial" w:hAnsi="Arial" w:cs="Arial"/>
          <w:sz w:val="22"/>
          <w:szCs w:val="22"/>
          <w:u w:val="single"/>
        </w:rPr>
        <w:t xml:space="preserve">        </w:t>
      </w:r>
      <w:r>
        <w:rPr>
          <w:rFonts w:ascii="Arial" w:hAnsi="Arial" w:cs="Arial"/>
          <w:b/>
          <w:i/>
          <w:sz w:val="22"/>
          <w:szCs w:val="22"/>
        </w:rPr>
        <w:tab/>
      </w:r>
      <w:r w:rsidR="007A3D6B" w:rsidRPr="0062047B">
        <w:rPr>
          <w:rFonts w:ascii="Arial" w:hAnsi="Arial" w:cs="Arial"/>
          <w:b/>
          <w:i/>
          <w:sz w:val="22"/>
          <w:szCs w:val="22"/>
        </w:rPr>
        <w:tab/>
      </w:r>
      <w:r>
        <w:rPr>
          <w:rFonts w:ascii="Arial" w:hAnsi="Arial" w:cs="Arial"/>
          <w:b/>
          <w:i/>
          <w:sz w:val="22"/>
          <w:szCs w:val="22"/>
        </w:rPr>
        <w:t xml:space="preserve"> </w:t>
      </w:r>
      <w:r w:rsidR="007A3D6B" w:rsidRPr="0062047B">
        <w:rPr>
          <w:rFonts w:ascii="Arial" w:hAnsi="Arial" w:cs="Arial"/>
          <w:b/>
          <w:i/>
          <w:sz w:val="22"/>
          <w:szCs w:val="22"/>
        </w:rPr>
        <w:t>_________________</w:t>
      </w:r>
    </w:p>
    <w:p w14:paraId="58D43E3B" w14:textId="77777777" w:rsidR="00605661" w:rsidRPr="0062047B" w:rsidRDefault="00605661" w:rsidP="007A3D6B">
      <w:pPr>
        <w:rPr>
          <w:rFonts w:ascii="Arial" w:hAnsi="Arial" w:cs="Arial"/>
          <w:b/>
          <w:i/>
          <w:sz w:val="22"/>
          <w:szCs w:val="22"/>
        </w:rPr>
      </w:pPr>
    </w:p>
    <w:p w14:paraId="58D43E3C" w14:textId="1C1B14D5" w:rsidR="007A3D6B" w:rsidRPr="0062047B" w:rsidRDefault="00205F97" w:rsidP="007A3D6B">
      <w:pPr>
        <w:ind w:firstLine="720"/>
        <w:rPr>
          <w:rFonts w:ascii="Arial" w:hAnsi="Arial" w:cs="Arial"/>
          <w:b/>
          <w:i/>
          <w:sz w:val="22"/>
          <w:szCs w:val="22"/>
        </w:rPr>
      </w:pPr>
      <w:r>
        <w:rPr>
          <w:rFonts w:ascii="Arial" w:hAnsi="Arial" w:cs="Arial"/>
          <w:b/>
          <w:i/>
          <w:sz w:val="22"/>
          <w:szCs w:val="22"/>
        </w:rPr>
        <w:t>_______</w:t>
      </w:r>
      <w:r w:rsidR="007A3D6B" w:rsidRPr="0062047B">
        <w:rPr>
          <w:rFonts w:ascii="Arial" w:hAnsi="Arial" w:cs="Arial"/>
          <w:b/>
          <w:i/>
          <w:sz w:val="22"/>
          <w:szCs w:val="22"/>
        </w:rPr>
        <w:tab/>
      </w:r>
      <w:r w:rsidR="007A3D6B" w:rsidRPr="0062047B">
        <w:rPr>
          <w:rFonts w:ascii="Arial" w:hAnsi="Arial" w:cs="Arial"/>
          <w:b/>
          <w:i/>
          <w:sz w:val="22"/>
          <w:szCs w:val="22"/>
        </w:rPr>
        <w:tab/>
      </w:r>
      <w:r w:rsidR="007A3D6B" w:rsidRPr="0062047B">
        <w:rPr>
          <w:rFonts w:ascii="Arial" w:hAnsi="Arial" w:cs="Arial"/>
          <w:b/>
          <w:i/>
          <w:sz w:val="22"/>
          <w:szCs w:val="22"/>
        </w:rPr>
        <w:tab/>
        <w:t>____________</w:t>
      </w:r>
      <w:r w:rsidR="007A3D6B" w:rsidRPr="0062047B">
        <w:rPr>
          <w:rFonts w:ascii="Arial" w:hAnsi="Arial" w:cs="Arial"/>
          <w:b/>
          <w:i/>
          <w:sz w:val="22"/>
          <w:szCs w:val="22"/>
        </w:rPr>
        <w:tab/>
        <w:t>_________________</w:t>
      </w:r>
    </w:p>
    <w:p w14:paraId="58D43E3E" w14:textId="77777777" w:rsidR="00F44AA6" w:rsidRPr="0062047B" w:rsidRDefault="00F44AA6" w:rsidP="007756C8">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403F84" w14:paraId="54835954" w14:textId="77777777" w:rsidTr="00403F84">
        <w:tc>
          <w:tcPr>
            <w:tcW w:w="9576" w:type="dxa"/>
            <w:tcBorders>
              <w:top w:val="single" w:sz="4" w:space="0" w:color="auto"/>
              <w:left w:val="single" w:sz="4" w:space="0" w:color="auto"/>
              <w:bottom w:val="single" w:sz="4" w:space="0" w:color="auto"/>
              <w:right w:val="single" w:sz="4" w:space="0" w:color="auto"/>
            </w:tcBorders>
            <w:hideMark/>
          </w:tcPr>
          <w:p w14:paraId="5342095A" w14:textId="77777777" w:rsidR="00403F84" w:rsidRDefault="00403F84">
            <w:pPr>
              <w:rPr>
                <w:rFonts w:ascii="Arial" w:hAnsi="Arial" w:cs="Arial"/>
                <w:b/>
                <w:sz w:val="22"/>
                <w:szCs w:val="22"/>
              </w:rPr>
            </w:pPr>
            <w:r>
              <w:rPr>
                <w:rFonts w:ascii="Arial" w:hAnsi="Arial" w:cs="Arial"/>
                <w:b/>
                <w:sz w:val="22"/>
                <w:szCs w:val="22"/>
              </w:rPr>
              <w:t xml:space="preserve">Instructions for modifying this template:  </w:t>
            </w:r>
          </w:p>
          <w:p w14:paraId="276DAF64" w14:textId="77777777" w:rsidR="00403F84" w:rsidRDefault="00403F84" w:rsidP="00403F84">
            <w:pPr>
              <w:pStyle w:val="ListParagraph"/>
              <w:numPr>
                <w:ilvl w:val="0"/>
                <w:numId w:val="20"/>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35EE662C" w14:textId="77777777" w:rsidR="00403F84" w:rsidRDefault="00403F84" w:rsidP="00403F84">
            <w:pPr>
              <w:pStyle w:val="ListParagraph"/>
              <w:numPr>
                <w:ilvl w:val="0"/>
                <w:numId w:val="20"/>
              </w:numPr>
              <w:rPr>
                <w:rFonts w:ascii="Arial" w:hAnsi="Arial" w:cs="Arial"/>
                <w:sz w:val="22"/>
                <w:szCs w:val="22"/>
              </w:rPr>
            </w:pPr>
            <w:r>
              <w:rPr>
                <w:rFonts w:ascii="Arial" w:hAnsi="Arial" w:cs="Arial"/>
                <w:sz w:val="22"/>
                <w:szCs w:val="22"/>
              </w:rPr>
              <w:t xml:space="preserve">Anything in this template can and may be modified as appropriate for your area while accounting for your interpretation of the most current FDA Guidance. </w:t>
            </w:r>
          </w:p>
          <w:p w14:paraId="15D26D78" w14:textId="77777777" w:rsidR="00403F84" w:rsidRDefault="00403F84" w:rsidP="00403F84">
            <w:pPr>
              <w:pStyle w:val="ListParagraph"/>
              <w:numPr>
                <w:ilvl w:val="0"/>
                <w:numId w:val="20"/>
              </w:numPr>
              <w:rPr>
                <w:rFonts w:ascii="Arial" w:hAnsi="Arial" w:cs="Arial"/>
                <w:sz w:val="22"/>
                <w:szCs w:val="22"/>
              </w:rPr>
            </w:pPr>
            <w:r>
              <w:rPr>
                <w:rFonts w:ascii="Arial" w:hAnsi="Arial" w:cs="Arial"/>
                <w:sz w:val="22"/>
                <w:szCs w:val="22"/>
              </w:rPr>
              <w:t>After you have modified this SOP template, do not forget to remove the “</w:t>
            </w:r>
            <w:r>
              <w:rPr>
                <w:rFonts w:ascii="Arial" w:hAnsi="Arial" w:cs="Arial"/>
                <w:b/>
                <w:sz w:val="22"/>
                <w:szCs w:val="22"/>
              </w:rPr>
              <w:t>Instructions for modifying this template</w:t>
            </w:r>
            <w:r>
              <w:rPr>
                <w:rFonts w:ascii="Arial" w:hAnsi="Arial" w:cs="Arial"/>
                <w:sz w:val="22"/>
                <w:szCs w:val="22"/>
              </w:rPr>
              <w:t xml:space="preserve">” table. </w:t>
            </w:r>
          </w:p>
          <w:p w14:paraId="44BE5302" w14:textId="77777777" w:rsidR="00403F84" w:rsidRDefault="00403F84" w:rsidP="00403F84">
            <w:pPr>
              <w:pStyle w:val="ListParagraph"/>
              <w:numPr>
                <w:ilvl w:val="0"/>
                <w:numId w:val="20"/>
              </w:numPr>
              <w:rPr>
                <w:rFonts w:ascii="Arial" w:hAnsi="Arial" w:cs="Arial"/>
                <w:sz w:val="22"/>
                <w:szCs w:val="22"/>
              </w:rPr>
            </w:pPr>
            <w:r>
              <w:rPr>
                <w:rFonts w:ascii="Arial" w:hAnsi="Arial" w:cs="Arial"/>
                <w:sz w:val="22"/>
                <w:szCs w:val="22"/>
              </w:rPr>
              <w:t>Number the SOP using you own guidelines for numbering.</w:t>
            </w:r>
          </w:p>
        </w:tc>
      </w:tr>
    </w:tbl>
    <w:p w14:paraId="58D43E3F" w14:textId="77777777" w:rsidR="00F44AA6" w:rsidRPr="0062047B" w:rsidRDefault="00F44AA6" w:rsidP="00F44AA6">
      <w:pPr>
        <w:tabs>
          <w:tab w:val="left" w:pos="720"/>
          <w:tab w:val="left" w:pos="1440"/>
        </w:tabs>
        <w:jc w:val="both"/>
        <w:rPr>
          <w:rFonts w:ascii="Arial" w:hAnsi="Arial" w:cs="Arial"/>
          <w:sz w:val="22"/>
          <w:szCs w:val="22"/>
        </w:rPr>
      </w:pPr>
    </w:p>
    <w:p w14:paraId="58D43E40" w14:textId="77777777" w:rsidR="00F44AA6" w:rsidRDefault="00F44AA6" w:rsidP="006916E6">
      <w:pPr>
        <w:pStyle w:val="ListParagraph"/>
        <w:numPr>
          <w:ilvl w:val="0"/>
          <w:numId w:val="17"/>
        </w:numPr>
        <w:tabs>
          <w:tab w:val="left" w:pos="720"/>
          <w:tab w:val="left" w:pos="1440"/>
        </w:tabs>
        <w:spacing w:after="120"/>
        <w:jc w:val="both"/>
        <w:outlineLvl w:val="0"/>
        <w:rPr>
          <w:rFonts w:ascii="Arial" w:hAnsi="Arial" w:cs="Arial"/>
          <w:b/>
          <w:sz w:val="22"/>
          <w:szCs w:val="22"/>
        </w:rPr>
      </w:pPr>
      <w:r w:rsidRPr="006916E6">
        <w:rPr>
          <w:rFonts w:ascii="Arial" w:hAnsi="Arial" w:cs="Arial"/>
          <w:b/>
          <w:sz w:val="22"/>
          <w:szCs w:val="22"/>
        </w:rPr>
        <w:t>SCOPE/PURPOSE</w:t>
      </w:r>
      <w:r w:rsidR="00AE4176" w:rsidRPr="006916E6">
        <w:rPr>
          <w:rFonts w:ascii="Arial" w:hAnsi="Arial" w:cs="Arial"/>
          <w:b/>
          <w:sz w:val="22"/>
          <w:szCs w:val="22"/>
        </w:rPr>
        <w:t xml:space="preserve"> </w:t>
      </w:r>
      <w:r w:rsidR="0054263F" w:rsidRPr="006916E6">
        <w:rPr>
          <w:rFonts w:ascii="Arial" w:hAnsi="Arial" w:cs="Arial"/>
          <w:b/>
          <w:sz w:val="22"/>
          <w:szCs w:val="22"/>
        </w:rPr>
        <w:t xml:space="preserve"> </w:t>
      </w:r>
    </w:p>
    <w:p w14:paraId="37BC4E58" w14:textId="277420A5" w:rsidR="007756C8" w:rsidRPr="006916E6" w:rsidRDefault="007756C8" w:rsidP="007756C8">
      <w:pPr>
        <w:pStyle w:val="ListParagraph"/>
        <w:tabs>
          <w:tab w:val="left" w:pos="720"/>
          <w:tab w:val="left" w:pos="1440"/>
        </w:tabs>
        <w:spacing w:after="120"/>
        <w:jc w:val="both"/>
        <w:outlineLvl w:val="0"/>
        <w:rPr>
          <w:rFonts w:ascii="Arial" w:hAnsi="Arial" w:cs="Arial"/>
          <w:b/>
          <w:sz w:val="22"/>
          <w:szCs w:val="22"/>
        </w:rPr>
      </w:pPr>
      <w:r w:rsidRPr="00A32EC3">
        <w:rPr>
          <w:rFonts w:asciiTheme="minorHAnsi" w:hAnsiTheme="minorHAnsi"/>
        </w:rPr>
        <w:t xml:space="preserve">The purpose of this SOP is to </w:t>
      </w:r>
      <w:r>
        <w:rPr>
          <w:rFonts w:asciiTheme="minorHAnsi" w:hAnsiTheme="minorHAnsi"/>
        </w:rPr>
        <w:t xml:space="preserve">insure compliance with the sponsor/CRO and the </w:t>
      </w:r>
      <w:r w:rsidR="007010BF">
        <w:rPr>
          <w:rFonts w:asciiTheme="minorHAnsi" w:hAnsiTheme="minorHAnsi"/>
        </w:rPr>
        <w:t>site</w:t>
      </w:r>
      <w:r>
        <w:rPr>
          <w:rFonts w:asciiTheme="minorHAnsi" w:hAnsiTheme="minorHAnsi"/>
        </w:rPr>
        <w:t xml:space="preserve"> requirements for monitoring of a study and </w:t>
      </w:r>
      <w:r w:rsidR="007010BF">
        <w:rPr>
          <w:rFonts w:asciiTheme="minorHAnsi" w:hAnsiTheme="minorHAnsi"/>
        </w:rPr>
        <w:t>e</w:t>
      </w:r>
      <w:r>
        <w:rPr>
          <w:rFonts w:asciiTheme="minorHAnsi" w:hAnsiTheme="minorHAnsi"/>
        </w:rPr>
        <w:t xml:space="preserve">nsure accurate data and to </w:t>
      </w:r>
      <w:r w:rsidR="007010BF">
        <w:rPr>
          <w:rFonts w:asciiTheme="minorHAnsi" w:hAnsiTheme="minorHAnsi"/>
        </w:rPr>
        <w:t>e</w:t>
      </w:r>
      <w:r>
        <w:rPr>
          <w:rFonts w:asciiTheme="minorHAnsi" w:hAnsiTheme="minorHAnsi"/>
        </w:rPr>
        <w:t xml:space="preserve">nsure that all relevant information from the monitoring visit is addressed.  This is SOP is intended to meet </w:t>
      </w:r>
      <w:r w:rsidRPr="00A32EC3">
        <w:rPr>
          <w:rFonts w:asciiTheme="minorHAnsi" w:hAnsiTheme="minorHAnsi"/>
        </w:rPr>
        <w:t xml:space="preserve">FDA </w:t>
      </w:r>
      <w:r>
        <w:rPr>
          <w:rFonts w:asciiTheme="minorHAnsi" w:hAnsiTheme="minorHAnsi"/>
        </w:rPr>
        <w:t>Federal Regulations and Good Clinical P</w:t>
      </w:r>
      <w:r w:rsidRPr="00A32EC3">
        <w:rPr>
          <w:rFonts w:asciiTheme="minorHAnsi" w:hAnsiTheme="minorHAnsi"/>
        </w:rPr>
        <w:t xml:space="preserve">ractice </w:t>
      </w:r>
      <w:r>
        <w:rPr>
          <w:rFonts w:asciiTheme="minorHAnsi" w:hAnsiTheme="minorHAnsi"/>
        </w:rPr>
        <w:t>Guidelines</w:t>
      </w:r>
      <w:r w:rsidRPr="00A32EC3">
        <w:rPr>
          <w:rFonts w:asciiTheme="minorHAnsi" w:hAnsiTheme="minorHAnsi"/>
        </w:rPr>
        <w:t>.</w:t>
      </w:r>
    </w:p>
    <w:p w14:paraId="58D43E42" w14:textId="77777777" w:rsidR="00C8007C" w:rsidRPr="0062047B" w:rsidRDefault="00C8007C" w:rsidP="00D517BE">
      <w:pPr>
        <w:tabs>
          <w:tab w:val="left" w:pos="720"/>
          <w:tab w:val="left" w:pos="1440"/>
        </w:tabs>
        <w:jc w:val="both"/>
        <w:outlineLvl w:val="0"/>
        <w:rPr>
          <w:rFonts w:ascii="Arial" w:hAnsi="Arial" w:cs="Arial"/>
          <w:b/>
          <w:sz w:val="22"/>
          <w:szCs w:val="22"/>
        </w:rPr>
      </w:pPr>
    </w:p>
    <w:p w14:paraId="58D43E43" w14:textId="77777777" w:rsidR="00C8007C" w:rsidRDefault="00C8007C" w:rsidP="00AE5D8B">
      <w:pPr>
        <w:tabs>
          <w:tab w:val="left" w:pos="720"/>
          <w:tab w:val="left" w:pos="1440"/>
        </w:tabs>
        <w:spacing w:after="120"/>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58D43E45" w14:textId="77777777" w:rsidR="00C8007C" w:rsidRPr="0062047B" w:rsidRDefault="00C8007C" w:rsidP="00F44AA6">
      <w:pPr>
        <w:jc w:val="both"/>
        <w:outlineLvl w:val="0"/>
        <w:rPr>
          <w:rFonts w:ascii="Arial" w:hAnsi="Arial" w:cs="Arial"/>
          <w:b/>
          <w:sz w:val="22"/>
          <w:szCs w:val="22"/>
        </w:rPr>
      </w:pPr>
    </w:p>
    <w:p w14:paraId="58D43E46" w14:textId="77777777" w:rsidR="003A71A1" w:rsidRDefault="003A71A1" w:rsidP="00AE5D8B">
      <w:pPr>
        <w:spacing w:after="120"/>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/GCPS</w:t>
      </w:r>
    </w:p>
    <w:p w14:paraId="58D43E47" w14:textId="77777777" w:rsidR="0045633E" w:rsidRPr="0045633E" w:rsidRDefault="0045633E" w:rsidP="0045633E">
      <w:pPr>
        <w:jc w:val="both"/>
        <w:outlineLvl w:val="0"/>
        <w:rPr>
          <w:rFonts w:ascii="Arial" w:hAnsi="Arial" w:cs="Arial"/>
          <w:sz w:val="22"/>
          <w:szCs w:val="22"/>
        </w:rPr>
      </w:pPr>
      <w:r>
        <w:rPr>
          <w:rFonts w:ascii="Arial" w:hAnsi="Arial" w:cs="Arial"/>
          <w:b/>
          <w:sz w:val="22"/>
          <w:szCs w:val="22"/>
        </w:rPr>
        <w:tab/>
      </w:r>
      <w:r>
        <w:rPr>
          <w:rFonts w:ascii="Arial" w:hAnsi="Arial" w:cs="Arial"/>
          <w:sz w:val="22"/>
          <w:szCs w:val="22"/>
        </w:rPr>
        <w:t xml:space="preserve">• </w:t>
      </w:r>
      <w:r w:rsidRPr="0045633E">
        <w:rPr>
          <w:rFonts w:ascii="Arial" w:hAnsi="Arial" w:cs="Arial"/>
          <w:sz w:val="22"/>
          <w:szCs w:val="22"/>
        </w:rPr>
        <w:t>21 CFR 50</w:t>
      </w:r>
    </w:p>
    <w:p w14:paraId="58D43E48" w14:textId="77777777" w:rsidR="0045633E" w:rsidRPr="0045633E" w:rsidRDefault="0045633E" w:rsidP="0045633E">
      <w:pPr>
        <w:ind w:firstLine="720"/>
        <w:jc w:val="both"/>
        <w:outlineLvl w:val="0"/>
        <w:rPr>
          <w:rFonts w:ascii="Arial" w:hAnsi="Arial" w:cs="Arial"/>
          <w:sz w:val="22"/>
          <w:szCs w:val="22"/>
        </w:rPr>
      </w:pPr>
      <w:r>
        <w:rPr>
          <w:rFonts w:ascii="Arial" w:hAnsi="Arial" w:cs="Arial"/>
          <w:sz w:val="22"/>
          <w:szCs w:val="22"/>
        </w:rPr>
        <w:t xml:space="preserve">• </w:t>
      </w:r>
      <w:r w:rsidRPr="0045633E">
        <w:rPr>
          <w:rFonts w:ascii="Arial" w:hAnsi="Arial" w:cs="Arial"/>
          <w:sz w:val="22"/>
          <w:szCs w:val="22"/>
        </w:rPr>
        <w:t xml:space="preserve">Guidelines for Investigators (UAB IRB) </w:t>
      </w:r>
    </w:p>
    <w:p w14:paraId="58D43E49" w14:textId="60157CD9" w:rsidR="0045633E" w:rsidRPr="0045633E" w:rsidRDefault="0045633E" w:rsidP="0045633E">
      <w:pPr>
        <w:ind w:firstLine="720"/>
        <w:jc w:val="both"/>
        <w:outlineLvl w:val="0"/>
        <w:rPr>
          <w:rFonts w:ascii="Arial" w:hAnsi="Arial" w:cs="Arial"/>
          <w:sz w:val="22"/>
          <w:szCs w:val="22"/>
        </w:rPr>
      </w:pPr>
      <w:r>
        <w:rPr>
          <w:rFonts w:ascii="Arial" w:hAnsi="Arial" w:cs="Arial"/>
          <w:sz w:val="22"/>
          <w:szCs w:val="22"/>
        </w:rPr>
        <w:t xml:space="preserve">• </w:t>
      </w:r>
      <w:r w:rsidR="0038329C">
        <w:rPr>
          <w:rFonts w:ascii="Arial" w:hAnsi="Arial" w:cs="Arial"/>
          <w:sz w:val="22"/>
          <w:szCs w:val="22"/>
        </w:rPr>
        <w:t>FDA (Food and Drug Administration) Requirements</w:t>
      </w:r>
    </w:p>
    <w:p w14:paraId="58D43E4A" w14:textId="77777777" w:rsidR="00F44AA6" w:rsidRPr="0045633E" w:rsidRDefault="00F44AA6" w:rsidP="00F44AA6">
      <w:pPr>
        <w:jc w:val="both"/>
        <w:outlineLvl w:val="0"/>
        <w:rPr>
          <w:rFonts w:ascii="Arial" w:hAnsi="Arial" w:cs="Arial"/>
          <w:sz w:val="22"/>
          <w:szCs w:val="22"/>
        </w:rPr>
      </w:pPr>
      <w:r w:rsidRPr="0045633E">
        <w:rPr>
          <w:rFonts w:ascii="Arial" w:hAnsi="Arial" w:cs="Arial"/>
          <w:sz w:val="22"/>
          <w:szCs w:val="22"/>
        </w:rPr>
        <w:tab/>
      </w:r>
    </w:p>
    <w:p w14:paraId="58D43E4B" w14:textId="77777777" w:rsidR="00DE68B4" w:rsidRDefault="00F44AA6" w:rsidP="00A643D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66BF2DDB" w14:textId="12D775E2" w:rsidR="0038329C" w:rsidRPr="0038329C" w:rsidRDefault="0038329C" w:rsidP="00A643D6">
      <w:pPr>
        <w:jc w:val="both"/>
        <w:outlineLvl w:val="0"/>
        <w:rPr>
          <w:rFonts w:ascii="Arial" w:hAnsi="Arial" w:cs="Arial"/>
          <w:sz w:val="22"/>
          <w:szCs w:val="22"/>
        </w:rPr>
      </w:pPr>
      <w:r>
        <w:rPr>
          <w:rFonts w:ascii="Arial" w:hAnsi="Arial" w:cs="Arial"/>
          <w:b/>
          <w:sz w:val="22"/>
          <w:szCs w:val="22"/>
        </w:rPr>
        <w:tab/>
      </w:r>
    </w:p>
    <w:p w14:paraId="58D43E4C" w14:textId="77777777" w:rsidR="00626A22" w:rsidRPr="0062047B" w:rsidRDefault="00626A22" w:rsidP="00F44AA6">
      <w:pPr>
        <w:jc w:val="both"/>
        <w:rPr>
          <w:rFonts w:ascii="Arial" w:hAnsi="Arial" w:cs="Arial"/>
          <w:sz w:val="22"/>
          <w:szCs w:val="22"/>
        </w:rPr>
      </w:pPr>
    </w:p>
    <w:p w14:paraId="58D43E4D" w14:textId="33638426" w:rsidR="00F44AA6" w:rsidRDefault="009869B2" w:rsidP="00AE5D8B">
      <w:pPr>
        <w:spacing w:after="120"/>
        <w:jc w:val="both"/>
        <w:outlineLvl w:val="0"/>
        <w:rPr>
          <w:rFonts w:ascii="Arial" w:hAnsi="Arial" w:cs="Arial"/>
          <w:b/>
          <w:sz w:val="22"/>
          <w:szCs w:val="22"/>
        </w:rPr>
      </w:pPr>
      <w:r w:rsidRPr="0062047B">
        <w:rPr>
          <w:rFonts w:ascii="Arial" w:hAnsi="Arial" w:cs="Arial"/>
          <w:b/>
          <w:sz w:val="22"/>
          <w:szCs w:val="22"/>
        </w:rPr>
        <w:lastRenderedPageBreak/>
        <w:t>V</w:t>
      </w:r>
      <w:r w:rsidR="00F44AA6" w:rsidRPr="0062047B">
        <w:rPr>
          <w:rFonts w:ascii="Arial" w:hAnsi="Arial" w:cs="Arial"/>
          <w:b/>
          <w:sz w:val="22"/>
          <w:szCs w:val="22"/>
        </w:rPr>
        <w:t>.</w:t>
      </w:r>
      <w:r w:rsidR="00F44AA6" w:rsidRPr="0062047B">
        <w:rPr>
          <w:rFonts w:ascii="Arial" w:hAnsi="Arial" w:cs="Arial"/>
          <w:b/>
          <w:sz w:val="22"/>
          <w:szCs w:val="22"/>
        </w:rPr>
        <w:tab/>
        <w:t>RESPONSIBLE PERSONNEL</w:t>
      </w:r>
    </w:p>
    <w:p w14:paraId="58D43E4E" w14:textId="30FC1617" w:rsidR="00AE5D8B" w:rsidRPr="00AE5D8B" w:rsidRDefault="00AE5D8B" w:rsidP="00AE5D8B">
      <w:pPr>
        <w:spacing w:after="120"/>
        <w:ind w:left="720"/>
        <w:jc w:val="both"/>
        <w:outlineLvl w:val="0"/>
        <w:rPr>
          <w:rFonts w:ascii="Arial" w:hAnsi="Arial" w:cs="Arial"/>
          <w:sz w:val="22"/>
          <w:szCs w:val="22"/>
        </w:rPr>
      </w:pPr>
      <w:r w:rsidRPr="00AE5D8B">
        <w:rPr>
          <w:rFonts w:ascii="Arial" w:hAnsi="Arial" w:cs="Arial"/>
          <w:sz w:val="22"/>
          <w:szCs w:val="22"/>
        </w:rPr>
        <w:t xml:space="preserve">This SOP applies to the following – Study </w:t>
      </w:r>
      <w:r w:rsidR="0038329C">
        <w:rPr>
          <w:rFonts w:ascii="Arial" w:hAnsi="Arial" w:cs="Arial"/>
          <w:sz w:val="22"/>
          <w:szCs w:val="22"/>
        </w:rPr>
        <w:t xml:space="preserve">Investigators, Study Coordinators, </w:t>
      </w:r>
      <w:r w:rsidRPr="00AE5D8B">
        <w:rPr>
          <w:rFonts w:ascii="Arial" w:hAnsi="Arial" w:cs="Arial"/>
          <w:sz w:val="22"/>
          <w:szCs w:val="22"/>
        </w:rPr>
        <w:t xml:space="preserve">Regulatory Affairs, </w:t>
      </w:r>
      <w:r w:rsidR="0038329C">
        <w:rPr>
          <w:rFonts w:ascii="Arial" w:hAnsi="Arial" w:cs="Arial"/>
          <w:sz w:val="22"/>
          <w:szCs w:val="22"/>
        </w:rPr>
        <w:t>and</w:t>
      </w:r>
      <w:r w:rsidRPr="00AE5D8B">
        <w:rPr>
          <w:rFonts w:ascii="Arial" w:hAnsi="Arial" w:cs="Arial"/>
          <w:sz w:val="22"/>
          <w:szCs w:val="22"/>
        </w:rPr>
        <w:t xml:space="preserve"> Sponsors.</w:t>
      </w:r>
    </w:p>
    <w:p w14:paraId="58D43E50" w14:textId="77777777" w:rsidR="00744F67" w:rsidRDefault="00744F67" w:rsidP="003A71A1">
      <w:pPr>
        <w:jc w:val="both"/>
        <w:outlineLvl w:val="0"/>
        <w:rPr>
          <w:rFonts w:ascii="Arial" w:hAnsi="Arial" w:cs="Arial"/>
          <w:b/>
          <w:sz w:val="22"/>
          <w:szCs w:val="22"/>
        </w:rPr>
      </w:pPr>
    </w:p>
    <w:p w14:paraId="58D43E51" w14:textId="7C7CECBE" w:rsidR="006916E6" w:rsidRDefault="00F44AA6" w:rsidP="006916E6">
      <w:pPr>
        <w:spacing w:after="120"/>
        <w:jc w:val="both"/>
        <w:outlineLvl w:val="0"/>
        <w:rPr>
          <w:rFonts w:ascii="Arial" w:hAnsi="Arial" w:cs="Arial"/>
          <w:b/>
          <w:sz w:val="22"/>
          <w:szCs w:val="22"/>
        </w:rPr>
      </w:pPr>
      <w:r w:rsidRPr="0062047B">
        <w:rPr>
          <w:rFonts w:ascii="Arial" w:hAnsi="Arial" w:cs="Arial"/>
          <w:b/>
          <w:sz w:val="22"/>
          <w:szCs w:val="22"/>
        </w:rPr>
        <w:t>V</w:t>
      </w:r>
      <w:r w:rsidR="0038329C">
        <w:rPr>
          <w:rFonts w:ascii="Arial" w:hAnsi="Arial" w:cs="Arial"/>
          <w:b/>
          <w:sz w:val="22"/>
          <w:szCs w:val="22"/>
        </w:rPr>
        <w:t>I</w:t>
      </w:r>
      <w:r w:rsidRPr="0062047B">
        <w:rPr>
          <w:rFonts w:ascii="Arial" w:hAnsi="Arial" w:cs="Arial"/>
          <w:b/>
          <w:sz w:val="22"/>
          <w:szCs w:val="22"/>
        </w:rPr>
        <w:t>.</w:t>
      </w:r>
      <w:r w:rsidRPr="0062047B">
        <w:rPr>
          <w:rFonts w:ascii="Arial" w:hAnsi="Arial" w:cs="Arial"/>
          <w:b/>
          <w:sz w:val="22"/>
          <w:szCs w:val="22"/>
        </w:rPr>
        <w:tab/>
        <w:t>DETAILS</w:t>
      </w:r>
    </w:p>
    <w:p w14:paraId="2198C02C" w14:textId="77777777" w:rsidR="0004091E" w:rsidRPr="0004091E" w:rsidRDefault="0004091E" w:rsidP="0004091E">
      <w:pPr>
        <w:numPr>
          <w:ilvl w:val="0"/>
          <w:numId w:val="19"/>
        </w:numPr>
        <w:suppressAutoHyphens/>
        <w:spacing w:after="120"/>
        <w:outlineLvl w:val="1"/>
        <w:rPr>
          <w:rFonts w:asciiTheme="minorHAnsi" w:hAnsiTheme="minorHAnsi"/>
          <w:b/>
          <w:szCs w:val="20"/>
        </w:rPr>
      </w:pPr>
      <w:r w:rsidRPr="0004091E">
        <w:rPr>
          <w:rFonts w:asciiTheme="minorHAnsi" w:hAnsiTheme="minorHAnsi"/>
          <w:b/>
          <w:szCs w:val="20"/>
        </w:rPr>
        <w:t>Scheduling</w:t>
      </w:r>
    </w:p>
    <w:p w14:paraId="7C11248F" w14:textId="77777777"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Monitors should be given the Monitor Informational Letter prior to any monitoring visit.  This letter is to assist them during and in planning for their monitoring visit.  The regulatory coordinator will send the letter to the monitor and notify the coordinator when the letter has been sent.</w:t>
      </w:r>
    </w:p>
    <w:p w14:paraId="7DDB3BF7" w14:textId="60EE33E9"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Monitoring visits are pre-arranged and conducted on working days between 8:30 am and 4:00 pm.  The coordinator and the monitor are responsible for scheduling the visit.  If the monitor requests additional appointments with the PI, pharmacy or other areas the coordinator is responsible for arranging the appointment times in advance of the visit.</w:t>
      </w:r>
    </w:p>
    <w:p w14:paraId="5E9878B3" w14:textId="101F71A3"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 xml:space="preserve">Monitoring visits are scheduled on the shared research calendar.  When a date is scheduled, the coordinator emails the </w:t>
      </w:r>
      <w:r w:rsidR="007010BF">
        <w:rPr>
          <w:rFonts w:asciiTheme="minorHAnsi" w:hAnsiTheme="minorHAnsi"/>
          <w:szCs w:val="20"/>
        </w:rPr>
        <w:t>site</w:t>
      </w:r>
      <w:r w:rsidRPr="0004091E">
        <w:rPr>
          <w:rFonts w:asciiTheme="minorHAnsi" w:hAnsiTheme="minorHAnsi"/>
          <w:szCs w:val="20"/>
        </w:rPr>
        <w:t xml:space="preserve"> manager and the regulatory coordinator with the date.  The regulatory coordinator adds the date to the shared research calendar.  No more than one monitor visit is scheduled in the same day.  If it is necessary to schedule more than one monitor visit on the same day, the </w:t>
      </w:r>
      <w:r w:rsidR="007010BF">
        <w:rPr>
          <w:rFonts w:asciiTheme="minorHAnsi" w:hAnsiTheme="minorHAnsi"/>
          <w:szCs w:val="20"/>
        </w:rPr>
        <w:t>site</w:t>
      </w:r>
      <w:r w:rsidRPr="0004091E">
        <w:rPr>
          <w:rFonts w:asciiTheme="minorHAnsi" w:hAnsiTheme="minorHAnsi"/>
          <w:szCs w:val="20"/>
        </w:rPr>
        <w:t xml:space="preserve"> manager must approve the additional visits.</w:t>
      </w:r>
    </w:p>
    <w:p w14:paraId="1A5B628A" w14:textId="77777777"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 xml:space="preserve">A working location will be provided for the monitor with access to appropriate research staff.  </w:t>
      </w:r>
    </w:p>
    <w:p w14:paraId="3EE0171C" w14:textId="77777777"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During the monitoring visit the study coordinator and all appropriate documents will be available to the monitor.</w:t>
      </w:r>
    </w:p>
    <w:p w14:paraId="6CC9143B" w14:textId="77FB1B39"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 xml:space="preserve">The </w:t>
      </w:r>
      <w:r w:rsidR="007010BF">
        <w:rPr>
          <w:rFonts w:asciiTheme="minorHAnsi" w:hAnsiTheme="minorHAnsi"/>
          <w:szCs w:val="20"/>
        </w:rPr>
        <w:t>Site</w:t>
      </w:r>
      <w:r w:rsidRPr="0004091E">
        <w:rPr>
          <w:rFonts w:asciiTheme="minorHAnsi" w:hAnsiTheme="minorHAnsi"/>
          <w:szCs w:val="20"/>
        </w:rPr>
        <w:t xml:space="preserve"> Manager must review the results of the monitoring visit.  Study coordinators are responsible for seeing that the monitors allocate time towards the end of their visit for an exit interview.  The exit interview will be conducted after all CRFs and regulatory documents have been reviewed by the monitor.  For this interview the monitor must prepare a written summary of findings regarding all aspects of the monitoring visit. A copy of this summary will be given to the </w:t>
      </w:r>
      <w:r w:rsidR="007010BF">
        <w:rPr>
          <w:rFonts w:asciiTheme="minorHAnsi" w:hAnsiTheme="minorHAnsi"/>
          <w:szCs w:val="20"/>
        </w:rPr>
        <w:t>Site</w:t>
      </w:r>
      <w:r w:rsidRPr="0004091E">
        <w:rPr>
          <w:rFonts w:asciiTheme="minorHAnsi" w:hAnsiTheme="minorHAnsi"/>
          <w:szCs w:val="20"/>
        </w:rPr>
        <w:t xml:space="preserve"> Manager conducting the exit interview in order to clarify and/or resolve issues.</w:t>
      </w:r>
    </w:p>
    <w:p w14:paraId="791A000F" w14:textId="77777777" w:rsidR="0004091E" w:rsidRPr="0004091E" w:rsidRDefault="0004091E" w:rsidP="0004091E">
      <w:pPr>
        <w:numPr>
          <w:ilvl w:val="0"/>
          <w:numId w:val="19"/>
        </w:numPr>
        <w:suppressAutoHyphens/>
        <w:spacing w:after="120"/>
        <w:outlineLvl w:val="1"/>
        <w:rPr>
          <w:rFonts w:asciiTheme="minorHAnsi" w:hAnsiTheme="minorHAnsi"/>
          <w:b/>
          <w:szCs w:val="20"/>
        </w:rPr>
      </w:pPr>
      <w:r w:rsidRPr="0004091E">
        <w:rPr>
          <w:rFonts w:asciiTheme="minorHAnsi" w:hAnsiTheme="minorHAnsi"/>
          <w:b/>
          <w:szCs w:val="20"/>
        </w:rPr>
        <w:t>Regulatory documents</w:t>
      </w:r>
    </w:p>
    <w:p w14:paraId="75813D8D" w14:textId="77777777"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 xml:space="preserve">The regulatory coordinator is responsible for resolving any regulatory issues of the monitoring visit.  </w:t>
      </w:r>
    </w:p>
    <w:p w14:paraId="7A233F08" w14:textId="77777777"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 xml:space="preserve">The regulatory coordinator keeps the regulatory documents up to date and ready for the monitor visit.  The regulatory coordinator will place the regulatory binders in the conference room prior to the monitor visit so they are ready for </w:t>
      </w:r>
      <w:r w:rsidRPr="0004091E">
        <w:rPr>
          <w:rFonts w:asciiTheme="minorHAnsi" w:hAnsiTheme="minorHAnsi"/>
          <w:szCs w:val="20"/>
        </w:rPr>
        <w:lastRenderedPageBreak/>
        <w:t>the monitor.  During the visit the regulatory coordinator will meet with the monitor to discuss any issues or concerns and address as many as possible prior to the completion of the visit.  The monitor may not remove any regulatory documents or study documents from the research offices.</w:t>
      </w:r>
    </w:p>
    <w:p w14:paraId="35361D01" w14:textId="77777777" w:rsidR="0004091E" w:rsidRPr="0004091E" w:rsidRDefault="0004091E" w:rsidP="0004091E">
      <w:pPr>
        <w:numPr>
          <w:ilvl w:val="0"/>
          <w:numId w:val="19"/>
        </w:numPr>
        <w:suppressAutoHyphens/>
        <w:spacing w:after="120"/>
        <w:outlineLvl w:val="1"/>
        <w:rPr>
          <w:rFonts w:asciiTheme="minorHAnsi" w:hAnsiTheme="minorHAnsi"/>
          <w:b/>
          <w:szCs w:val="20"/>
        </w:rPr>
      </w:pPr>
      <w:r w:rsidRPr="0004091E">
        <w:rPr>
          <w:rFonts w:asciiTheme="minorHAnsi" w:hAnsiTheme="minorHAnsi"/>
          <w:b/>
          <w:szCs w:val="20"/>
        </w:rPr>
        <w:t>Participant documents</w:t>
      </w:r>
    </w:p>
    <w:p w14:paraId="78037604" w14:textId="41ADF4E7"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 xml:space="preserve">The study coordinator is responsible for the resolution of the monitoring issues concerning clinical aspects of the study.  The coordinator must notify and review issues with the </w:t>
      </w:r>
      <w:r w:rsidR="007010BF">
        <w:rPr>
          <w:rFonts w:asciiTheme="minorHAnsi" w:hAnsiTheme="minorHAnsi"/>
          <w:szCs w:val="20"/>
        </w:rPr>
        <w:t>Site</w:t>
      </w:r>
      <w:r w:rsidRPr="0004091E">
        <w:rPr>
          <w:rFonts w:asciiTheme="minorHAnsi" w:hAnsiTheme="minorHAnsi"/>
          <w:szCs w:val="20"/>
        </w:rPr>
        <w:t xml:space="preserve"> Manager. </w:t>
      </w:r>
    </w:p>
    <w:p w14:paraId="37D382AC" w14:textId="77777777"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The study coordinator maintains the participant source documents and case report forms up to date.  The coordinator prepares for the visit by making sure that all study paperwork is complete and ready for the monitor to review.  Prior to the monitor visit the study coordinator places all the necessary documents requested by the monitor in the conference room</w:t>
      </w:r>
    </w:p>
    <w:p w14:paraId="4848C6D8" w14:textId="77777777" w:rsidR="0004091E" w:rsidRPr="0004091E" w:rsidRDefault="0004091E" w:rsidP="0004091E">
      <w:pPr>
        <w:numPr>
          <w:ilvl w:val="0"/>
          <w:numId w:val="19"/>
        </w:numPr>
        <w:suppressAutoHyphens/>
        <w:spacing w:after="120"/>
        <w:outlineLvl w:val="1"/>
        <w:rPr>
          <w:rFonts w:asciiTheme="minorHAnsi" w:hAnsiTheme="minorHAnsi"/>
          <w:b/>
          <w:szCs w:val="20"/>
        </w:rPr>
      </w:pPr>
      <w:r w:rsidRPr="0004091E">
        <w:rPr>
          <w:rFonts w:asciiTheme="minorHAnsi" w:hAnsiTheme="minorHAnsi"/>
          <w:b/>
          <w:szCs w:val="20"/>
        </w:rPr>
        <w:t xml:space="preserve">Conclusion </w:t>
      </w:r>
    </w:p>
    <w:p w14:paraId="2B011573" w14:textId="650FE4C7"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 xml:space="preserve">Upon conclusion of the monitoring visit and exit interview, the monitor will confirm that a written summary of all clinical and regulatory findings will be sent to the </w:t>
      </w:r>
      <w:r w:rsidR="007010BF">
        <w:rPr>
          <w:rFonts w:asciiTheme="minorHAnsi" w:hAnsiTheme="minorHAnsi"/>
          <w:szCs w:val="20"/>
        </w:rPr>
        <w:t>Site</w:t>
      </w:r>
      <w:r w:rsidRPr="0004091E">
        <w:rPr>
          <w:rFonts w:asciiTheme="minorHAnsi" w:hAnsiTheme="minorHAnsi"/>
          <w:szCs w:val="20"/>
        </w:rPr>
        <w:t xml:space="preserve"> Manager and Principle Investigator within two weeks of the visit.</w:t>
      </w:r>
    </w:p>
    <w:p w14:paraId="63A0B378" w14:textId="77777777"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 xml:space="preserve">When the visit is concluded.  The regulatory coordinator returns all regulatory documents to the proper location.  The study coordinator returns all study paperwork to the proper location.  </w:t>
      </w:r>
    </w:p>
    <w:p w14:paraId="2711E281" w14:textId="77777777"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The study coordinator and regulatory coordinator make sure the room used for the monitor visit is left clean and in order.</w:t>
      </w:r>
    </w:p>
    <w:p w14:paraId="742B3585" w14:textId="70ABF969"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 xml:space="preserve">A summary of the monitor’s visit, exit interview, and resolution of findings will be presented at staff meetings by the </w:t>
      </w:r>
      <w:r w:rsidR="007010BF">
        <w:rPr>
          <w:rFonts w:asciiTheme="minorHAnsi" w:hAnsiTheme="minorHAnsi"/>
          <w:szCs w:val="20"/>
        </w:rPr>
        <w:t>Site</w:t>
      </w:r>
      <w:r w:rsidRPr="0004091E">
        <w:rPr>
          <w:rFonts w:asciiTheme="minorHAnsi" w:hAnsiTheme="minorHAnsi"/>
          <w:szCs w:val="20"/>
        </w:rPr>
        <w:t xml:space="preserve"> Manager and required actions, if any, will be noted.</w:t>
      </w:r>
    </w:p>
    <w:p w14:paraId="38B1142C" w14:textId="78856218" w:rsidR="0004091E" w:rsidRPr="0004091E" w:rsidRDefault="0004091E" w:rsidP="0004091E">
      <w:pPr>
        <w:numPr>
          <w:ilvl w:val="1"/>
          <w:numId w:val="19"/>
        </w:numPr>
        <w:suppressAutoHyphens/>
        <w:spacing w:after="120"/>
        <w:outlineLvl w:val="1"/>
        <w:rPr>
          <w:rFonts w:asciiTheme="minorHAnsi" w:hAnsiTheme="minorHAnsi"/>
          <w:szCs w:val="20"/>
        </w:rPr>
      </w:pPr>
      <w:r w:rsidRPr="0004091E">
        <w:rPr>
          <w:rFonts w:asciiTheme="minorHAnsi" w:hAnsiTheme="minorHAnsi"/>
          <w:szCs w:val="20"/>
        </w:rPr>
        <w:t xml:space="preserve">The monitor’s follow up letter must be reviewed and signed by the Principle Investigator, </w:t>
      </w:r>
      <w:r w:rsidR="007010BF">
        <w:rPr>
          <w:rFonts w:asciiTheme="minorHAnsi" w:hAnsiTheme="minorHAnsi"/>
          <w:szCs w:val="20"/>
        </w:rPr>
        <w:t>Site</w:t>
      </w:r>
      <w:r w:rsidRPr="0004091E">
        <w:rPr>
          <w:rFonts w:asciiTheme="minorHAnsi" w:hAnsiTheme="minorHAnsi"/>
          <w:szCs w:val="20"/>
        </w:rPr>
        <w:t xml:space="preserve"> Manager and study coordinator.  The letter is then given to the regulatory coordinator with the corrective action items for IRB submission.</w:t>
      </w:r>
    </w:p>
    <w:p w14:paraId="58D43E68" w14:textId="7185EE38" w:rsidR="00F7057D" w:rsidRPr="0004091E" w:rsidRDefault="00F7057D" w:rsidP="0004091E">
      <w:pPr>
        <w:spacing w:after="120"/>
        <w:jc w:val="both"/>
        <w:outlineLvl w:val="0"/>
        <w:rPr>
          <w:rFonts w:ascii="Arial" w:hAnsi="Arial" w:cs="Arial"/>
          <w:b/>
          <w:sz w:val="22"/>
          <w:szCs w:val="22"/>
        </w:rPr>
      </w:pPr>
    </w:p>
    <w:p w14:paraId="58D43E69" w14:textId="5F9335E6" w:rsidR="004D3251" w:rsidRPr="00A643D6"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I.</w:t>
      </w:r>
      <w:r w:rsidRPr="0062047B">
        <w:rPr>
          <w:rFonts w:ascii="Arial" w:hAnsi="Arial" w:cs="Arial"/>
          <w:b/>
          <w:sz w:val="22"/>
          <w:szCs w:val="22"/>
        </w:rPr>
        <w:tab/>
        <w:t xml:space="preserve">QA </w:t>
      </w:r>
    </w:p>
    <w:p w14:paraId="58D43E6A" w14:textId="3D8B4616" w:rsidR="00F44AA6" w:rsidRPr="00152008" w:rsidRDefault="00F44AA6" w:rsidP="00F44AA6">
      <w:pPr>
        <w:rPr>
          <w:rFonts w:ascii="Arial" w:hAnsi="Arial" w:cs="Arial"/>
          <w:sz w:val="22"/>
          <w:szCs w:val="22"/>
        </w:rPr>
      </w:pPr>
      <w:r w:rsidRPr="0062047B">
        <w:rPr>
          <w:rFonts w:ascii="Arial" w:hAnsi="Arial" w:cs="Arial"/>
          <w:b/>
          <w:sz w:val="22"/>
          <w:szCs w:val="22"/>
        </w:rPr>
        <w:tab/>
      </w:r>
      <w:r w:rsidR="00152008" w:rsidRPr="00152008">
        <w:rPr>
          <w:rFonts w:ascii="Arial" w:hAnsi="Arial" w:cs="Arial"/>
          <w:sz w:val="22"/>
          <w:szCs w:val="22"/>
        </w:rPr>
        <w:t xml:space="preserve">NA </w:t>
      </w:r>
    </w:p>
    <w:p w14:paraId="7BB0827F" w14:textId="77777777" w:rsidR="00152008" w:rsidRPr="0062047B" w:rsidRDefault="00152008" w:rsidP="00F44AA6">
      <w:pPr>
        <w:rPr>
          <w:rFonts w:ascii="Arial" w:hAnsi="Arial" w:cs="Arial"/>
          <w:sz w:val="22"/>
          <w:szCs w:val="22"/>
        </w:rPr>
      </w:pPr>
    </w:p>
    <w:p w14:paraId="58D43E6B" w14:textId="329A8731" w:rsidR="00F44AA6" w:rsidRDefault="0038329C" w:rsidP="0038329C">
      <w:pPr>
        <w:outlineLvl w:val="0"/>
        <w:rPr>
          <w:rFonts w:ascii="Arial" w:hAnsi="Arial" w:cs="Arial"/>
          <w:b/>
          <w:sz w:val="22"/>
          <w:szCs w:val="22"/>
        </w:rPr>
      </w:pPr>
      <w:r>
        <w:rPr>
          <w:rFonts w:ascii="Arial" w:hAnsi="Arial" w:cs="Arial"/>
          <w:b/>
          <w:sz w:val="22"/>
          <w:szCs w:val="22"/>
        </w:rPr>
        <w:t>VIII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sidR="008863BF">
        <w:rPr>
          <w:rFonts w:ascii="Arial" w:hAnsi="Arial" w:cs="Arial"/>
          <w:b/>
          <w:sz w:val="22"/>
          <w:szCs w:val="22"/>
        </w:rPr>
        <w:t>/RESOURCES</w:t>
      </w:r>
    </w:p>
    <w:p w14:paraId="74BC2C3C" w14:textId="7DCC1698" w:rsidR="00152008" w:rsidRPr="00152008" w:rsidRDefault="0038329C" w:rsidP="00152008">
      <w:pPr>
        <w:rPr>
          <w:rFonts w:ascii="Arial" w:hAnsi="Arial" w:cs="Arial"/>
          <w:sz w:val="22"/>
          <w:szCs w:val="22"/>
        </w:rPr>
      </w:pPr>
      <w:r>
        <w:rPr>
          <w:rFonts w:ascii="Arial" w:hAnsi="Arial" w:cs="Arial"/>
          <w:b/>
          <w:sz w:val="22"/>
          <w:szCs w:val="22"/>
        </w:rPr>
        <w:tab/>
      </w:r>
      <w:r w:rsidR="00152008" w:rsidRPr="00152008">
        <w:rPr>
          <w:rFonts w:ascii="Arial" w:hAnsi="Arial" w:cs="Arial"/>
          <w:sz w:val="22"/>
          <w:szCs w:val="22"/>
        </w:rPr>
        <w:t xml:space="preserve">NA </w:t>
      </w:r>
    </w:p>
    <w:p w14:paraId="58D43E6C" w14:textId="31FE70A7" w:rsidR="004820BF" w:rsidRPr="0062047B" w:rsidRDefault="004820BF" w:rsidP="00F1087D">
      <w:pPr>
        <w:outlineLvl w:val="0"/>
        <w:rPr>
          <w:rFonts w:ascii="Arial" w:hAnsi="Arial" w:cs="Arial"/>
          <w:b/>
          <w:sz w:val="22"/>
          <w:szCs w:val="22"/>
        </w:rPr>
      </w:pPr>
    </w:p>
    <w:p w14:paraId="58D43E6D" w14:textId="51D4AB5F" w:rsidR="00F44AA6" w:rsidRPr="0062047B" w:rsidRDefault="0038329C"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1E79FDDB" w14:textId="77777777" w:rsidR="00152008" w:rsidRPr="00152008" w:rsidRDefault="00152008" w:rsidP="00152008">
      <w:pPr>
        <w:rPr>
          <w:rFonts w:ascii="Arial" w:hAnsi="Arial" w:cs="Arial"/>
          <w:sz w:val="22"/>
          <w:szCs w:val="22"/>
        </w:rPr>
      </w:pPr>
      <w:r w:rsidRPr="0062047B">
        <w:rPr>
          <w:rFonts w:ascii="Arial" w:hAnsi="Arial" w:cs="Arial"/>
          <w:b/>
          <w:sz w:val="22"/>
          <w:szCs w:val="22"/>
        </w:rPr>
        <w:tab/>
      </w:r>
      <w:r w:rsidRPr="00152008">
        <w:rPr>
          <w:rFonts w:ascii="Arial" w:hAnsi="Arial" w:cs="Arial"/>
          <w:sz w:val="22"/>
          <w:szCs w:val="22"/>
        </w:rPr>
        <w:t xml:space="preserve">NA </w:t>
      </w:r>
    </w:p>
    <w:p w14:paraId="490C7407" w14:textId="77777777" w:rsidR="00152008" w:rsidRPr="0062047B" w:rsidRDefault="00152008" w:rsidP="00152008">
      <w:pPr>
        <w:rPr>
          <w:rFonts w:ascii="Arial" w:hAnsi="Arial" w:cs="Arial"/>
          <w:sz w:val="22"/>
          <w:szCs w:val="22"/>
        </w:rPr>
      </w:pPr>
    </w:p>
    <w:p w14:paraId="58D43E6E" w14:textId="77777777" w:rsidR="004820BF" w:rsidRPr="007A3D6B" w:rsidRDefault="004820BF" w:rsidP="00F44AA6">
      <w:pPr>
        <w:jc w:val="both"/>
        <w:outlineLvl w:val="0"/>
        <w:rPr>
          <w:rFonts w:ascii="Arial" w:hAnsi="Arial" w:cs="Arial"/>
          <w:b/>
          <w:sz w:val="22"/>
          <w:szCs w:val="22"/>
        </w:rPr>
      </w:pPr>
    </w:p>
    <w:sectPr w:rsidR="004820BF" w:rsidRPr="007A3D6B" w:rsidSect="002C1F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14F67" w14:textId="77777777" w:rsidR="00AC3A9B" w:rsidRDefault="00AC3A9B" w:rsidP="00927A1E">
      <w:r>
        <w:separator/>
      </w:r>
    </w:p>
  </w:endnote>
  <w:endnote w:type="continuationSeparator" w:id="0">
    <w:p w14:paraId="67D0DF59" w14:textId="77777777" w:rsidR="00AC3A9B" w:rsidRDefault="00AC3A9B"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58D43E75" w14:textId="2A3FD0B1"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152008">
              <w:t>02/24/2014</w:t>
            </w:r>
          </w:p>
          <w:p w14:paraId="58D43E76"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7127B8">
              <w:rPr>
                <w:b/>
                <w:noProof/>
              </w:rPr>
              <w:t>3</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7127B8">
              <w:rPr>
                <w:b/>
                <w:noProof/>
              </w:rPr>
              <w:t>3</w:t>
            </w:r>
            <w:r w:rsidR="006C43BC">
              <w:rPr>
                <w:b/>
              </w:rPr>
              <w:fldChar w:fldCharType="end"/>
            </w:r>
          </w:p>
        </w:sdtContent>
      </w:sdt>
    </w:sdtContent>
  </w:sdt>
  <w:p w14:paraId="58D43E77"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5FAC3" w14:textId="77777777" w:rsidR="00AC3A9B" w:rsidRDefault="00AC3A9B" w:rsidP="00927A1E">
      <w:r>
        <w:separator/>
      </w:r>
    </w:p>
  </w:footnote>
  <w:footnote w:type="continuationSeparator" w:id="0">
    <w:p w14:paraId="64252CD0" w14:textId="77777777" w:rsidR="00AC3A9B" w:rsidRDefault="00AC3A9B"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3E73" w14:textId="0669328C" w:rsidR="004D3251" w:rsidRPr="00C067D7" w:rsidRDefault="0038329C" w:rsidP="008863BF">
    <w:pPr>
      <w:pStyle w:val="Header"/>
      <w:tabs>
        <w:tab w:val="left" w:pos="345"/>
      </w:tabs>
      <w:jc w:val="center"/>
      <w:rPr>
        <w:rFonts w:ascii="Arial" w:hAnsi="Arial" w:cs="Arial"/>
        <w:lang w:val="fr-FR"/>
      </w:rPr>
    </w:pPr>
    <w:r>
      <w:rPr>
        <w:rFonts w:ascii="Arial" w:hAnsi="Arial" w:cs="Arial"/>
        <w:lang w:val="fr-FR"/>
      </w:rPr>
      <w:t xml:space="preserve">Version Date: </w:t>
    </w:r>
    <w:r w:rsidR="008863BF" w:rsidRPr="008863BF">
      <w:rPr>
        <w:rFonts w:ascii="Arial" w:hAnsi="Arial" w:cs="Arial"/>
        <w:highlight w:val="yellow"/>
        <w:lang w:val="fr-FR"/>
      </w:rPr>
      <w:t>mm/dd/</w:t>
    </w:r>
    <w:proofErr w:type="spellStart"/>
    <w:r w:rsidR="008863BF" w:rsidRPr="008863BF">
      <w:rPr>
        <w:rFonts w:ascii="Arial" w:hAnsi="Arial" w:cs="Arial"/>
        <w:highlight w:val="yellow"/>
        <w:lang w:val="fr-FR"/>
      </w:rPr>
      <w:t>yyyy</w:t>
    </w:r>
    <w:proofErr w:type="spellEnd"/>
    <w:r w:rsidR="0045633E">
      <w:rPr>
        <w:rFonts w:ascii="Arial" w:hAnsi="Arial" w:cs="Arial"/>
        <w:lang w:val="fr-FR"/>
      </w:rPr>
      <w:tab/>
    </w:r>
    <w:r w:rsidR="0045633E">
      <w:rPr>
        <w:rFonts w:ascii="Arial" w:hAnsi="Arial" w:cs="Arial"/>
        <w:lang w:val="fr-FR"/>
      </w:rPr>
      <w:tab/>
    </w:r>
    <w:r w:rsidR="004D3251">
      <w:rPr>
        <w:rFonts w:ascii="Arial" w:hAnsi="Arial" w:cs="Arial"/>
        <w:lang w:val="fr-FR"/>
      </w:rPr>
      <w:t>SOP</w:t>
    </w:r>
    <w:r w:rsidR="008863BF">
      <w:rPr>
        <w:rFonts w:ascii="Arial" w:hAnsi="Arial" w:cs="Arial"/>
        <w:lang w:val="fr-FR"/>
      </w:rPr>
      <w:t xml:space="preserve"> # </w:t>
    </w:r>
    <w:r w:rsidR="007127B8">
      <w:rPr>
        <w:rFonts w:ascii="Arial" w:hAnsi="Arial" w:cs="Arial"/>
        <w:highlight w:val="yellow"/>
        <w:lang w:val="fr-FR"/>
      </w:rPr>
      <w:t>CL</w:t>
    </w:r>
    <w:r w:rsidR="008863BF" w:rsidRPr="008863BF">
      <w:rPr>
        <w:rFonts w:ascii="Arial" w:hAnsi="Arial" w:cs="Arial"/>
        <w:highlight w:val="yellow"/>
        <w:lang w:val="fr-FR"/>
      </w:rPr>
      <w:t xml:space="preserve"> XX.XX</w:t>
    </w:r>
  </w:p>
  <w:p w14:paraId="58D43E74"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A476B17"/>
    <w:multiLevelType w:val="hybridMultilevel"/>
    <w:tmpl w:val="A56A5684"/>
    <w:lvl w:ilvl="0" w:tplc="77A8CC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422953"/>
    <w:multiLevelType w:val="hybridMultilevel"/>
    <w:tmpl w:val="165294DC"/>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41B3E"/>
    <w:multiLevelType w:val="hybridMultilevel"/>
    <w:tmpl w:val="FC4C809E"/>
    <w:lvl w:ilvl="0" w:tplc="B9742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2876296"/>
    <w:multiLevelType w:val="hybridMultilevel"/>
    <w:tmpl w:val="ADA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16"/>
  </w:num>
  <w:num w:numId="3">
    <w:abstractNumId w:val="2"/>
  </w:num>
  <w:num w:numId="4">
    <w:abstractNumId w:val="18"/>
  </w:num>
  <w:num w:numId="5">
    <w:abstractNumId w:val="6"/>
  </w:num>
  <w:num w:numId="6">
    <w:abstractNumId w:val="0"/>
  </w:num>
  <w:num w:numId="7">
    <w:abstractNumId w:val="14"/>
  </w:num>
  <w:num w:numId="8">
    <w:abstractNumId w:val="12"/>
  </w:num>
  <w:num w:numId="9">
    <w:abstractNumId w:val="7"/>
  </w:num>
  <w:num w:numId="10">
    <w:abstractNumId w:val="17"/>
  </w:num>
  <w:num w:numId="11">
    <w:abstractNumId w:val="13"/>
  </w:num>
  <w:num w:numId="12">
    <w:abstractNumId w:val="11"/>
  </w:num>
  <w:num w:numId="13">
    <w:abstractNumId w:val="5"/>
  </w:num>
  <w:num w:numId="14">
    <w:abstractNumId w:val="4"/>
  </w:num>
  <w:num w:numId="15">
    <w:abstractNumId w:val="15"/>
  </w:num>
  <w:num w:numId="16">
    <w:abstractNumId w:val="9"/>
  </w:num>
  <w:num w:numId="17">
    <w:abstractNumId w:val="1"/>
  </w:num>
  <w:num w:numId="18">
    <w:abstractNumId w:val="8"/>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4091E"/>
    <w:rsid w:val="00044131"/>
    <w:rsid w:val="0009458F"/>
    <w:rsid w:val="000E688A"/>
    <w:rsid w:val="00114EF1"/>
    <w:rsid w:val="00144804"/>
    <w:rsid w:val="00152008"/>
    <w:rsid w:val="00153E59"/>
    <w:rsid w:val="001D5458"/>
    <w:rsid w:val="00205F97"/>
    <w:rsid w:val="002B30E9"/>
    <w:rsid w:val="002C1FD8"/>
    <w:rsid w:val="00334D8D"/>
    <w:rsid w:val="00337326"/>
    <w:rsid w:val="0038329C"/>
    <w:rsid w:val="003A71A1"/>
    <w:rsid w:val="003B27D9"/>
    <w:rsid w:val="003C1670"/>
    <w:rsid w:val="003D0548"/>
    <w:rsid w:val="003E5A6A"/>
    <w:rsid w:val="003E77D7"/>
    <w:rsid w:val="00403F84"/>
    <w:rsid w:val="00406252"/>
    <w:rsid w:val="00444BAB"/>
    <w:rsid w:val="0044507A"/>
    <w:rsid w:val="0045633E"/>
    <w:rsid w:val="00466577"/>
    <w:rsid w:val="004820BF"/>
    <w:rsid w:val="004D3251"/>
    <w:rsid w:val="00521A3B"/>
    <w:rsid w:val="0054263F"/>
    <w:rsid w:val="005E5B15"/>
    <w:rsid w:val="00605661"/>
    <w:rsid w:val="0061337B"/>
    <w:rsid w:val="0062047B"/>
    <w:rsid w:val="00621478"/>
    <w:rsid w:val="00626A22"/>
    <w:rsid w:val="00673EF0"/>
    <w:rsid w:val="006916E6"/>
    <w:rsid w:val="0069631F"/>
    <w:rsid w:val="006C43BC"/>
    <w:rsid w:val="006D6949"/>
    <w:rsid w:val="007010BF"/>
    <w:rsid w:val="00702084"/>
    <w:rsid w:val="007127B8"/>
    <w:rsid w:val="00744F67"/>
    <w:rsid w:val="007756C8"/>
    <w:rsid w:val="007909F1"/>
    <w:rsid w:val="007A3D6B"/>
    <w:rsid w:val="007C3CE1"/>
    <w:rsid w:val="007C748E"/>
    <w:rsid w:val="007F2A3F"/>
    <w:rsid w:val="00856DB9"/>
    <w:rsid w:val="008863BF"/>
    <w:rsid w:val="008C752B"/>
    <w:rsid w:val="008C7F01"/>
    <w:rsid w:val="008E7A29"/>
    <w:rsid w:val="00927A1E"/>
    <w:rsid w:val="009869B2"/>
    <w:rsid w:val="009D3809"/>
    <w:rsid w:val="009E11F5"/>
    <w:rsid w:val="009F0A64"/>
    <w:rsid w:val="009F3999"/>
    <w:rsid w:val="00A643D6"/>
    <w:rsid w:val="00A865CD"/>
    <w:rsid w:val="00AC3A9B"/>
    <w:rsid w:val="00AE31F1"/>
    <w:rsid w:val="00AE4176"/>
    <w:rsid w:val="00AE5D8B"/>
    <w:rsid w:val="00B17882"/>
    <w:rsid w:val="00BD40D9"/>
    <w:rsid w:val="00C067D7"/>
    <w:rsid w:val="00C42E3F"/>
    <w:rsid w:val="00C47C25"/>
    <w:rsid w:val="00C8007C"/>
    <w:rsid w:val="00CB1A01"/>
    <w:rsid w:val="00D517BE"/>
    <w:rsid w:val="00DA2AFD"/>
    <w:rsid w:val="00DE68B4"/>
    <w:rsid w:val="00E4521A"/>
    <w:rsid w:val="00E61EF3"/>
    <w:rsid w:val="00ED680F"/>
    <w:rsid w:val="00F1087D"/>
    <w:rsid w:val="00F24ED4"/>
    <w:rsid w:val="00F44AA6"/>
    <w:rsid w:val="00F50A9E"/>
    <w:rsid w:val="00F7057D"/>
    <w:rsid w:val="00FC486E"/>
    <w:rsid w:val="00FD758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43E26"/>
  <w15:docId w15:val="{5A1C0336-178A-441D-9C03-DF3BF009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38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9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86175-869C-418B-A265-47A5D6E6779E}">
  <ds:schemaRefs>
    <ds:schemaRef ds:uri="http://schemas.microsoft.com/sharepoint/v3/contenttype/forms"/>
  </ds:schemaRefs>
</ds:datastoreItem>
</file>

<file path=customXml/itemProps2.xml><?xml version="1.0" encoding="utf-8"?>
<ds:datastoreItem xmlns:ds="http://schemas.openxmlformats.org/officeDocument/2006/customXml" ds:itemID="{EB214864-5AD1-4ADA-B813-220D13B29C8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28CE9FF-60AB-451B-B959-97AB0E54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SOP site Specific ICF</vt:lpstr>
    </vt:vector>
  </TitlesOfParts>
  <Company>UAB</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site Specific ICF</dc:title>
  <dc:creator>idale</dc:creator>
  <cp:lastModifiedBy>Penny Jester</cp:lastModifiedBy>
  <cp:revision>4</cp:revision>
  <cp:lastPrinted>2014-09-17T00:52:00Z</cp:lastPrinted>
  <dcterms:created xsi:type="dcterms:W3CDTF">2016-07-24T00:57:00Z</dcterms:created>
  <dcterms:modified xsi:type="dcterms:W3CDTF">2016-07-24T22:47:00Z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